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840" w:beforeLines="150" w:after="280" w:afterLines="50"/>
        <w:jc w:val="center"/>
        <w:rPr>
          <w:rFonts w:asciiTheme="majorEastAsia" w:hAnsiTheme="majorEastAsia" w:eastAsiaTheme="majorEastAsia"/>
          <w:b/>
          <w:bCs/>
          <w:color w:val="auto"/>
          <w:sz w:val="40"/>
          <w:szCs w:val="32"/>
          <w:highlight w:val="none"/>
        </w:rPr>
      </w:pPr>
      <w:r>
        <w:rPr>
          <w:rFonts w:hint="eastAsia" w:asciiTheme="majorEastAsia" w:hAnsiTheme="majorEastAsia" w:eastAsiaTheme="majorEastAsia"/>
          <w:b/>
          <w:bCs/>
          <w:color w:val="auto"/>
          <w:sz w:val="40"/>
          <w:szCs w:val="32"/>
          <w:highlight w:val="none"/>
        </w:rPr>
        <w:t>深圳大学土木与交通工程学院</w:t>
      </w:r>
    </w:p>
    <w:p>
      <w:pPr>
        <w:widowControl/>
        <w:spacing w:before="560" w:beforeLines="100" w:after="280" w:afterLines="50"/>
        <w:jc w:val="center"/>
        <w:rPr>
          <w:rFonts w:asciiTheme="majorEastAsia" w:hAnsiTheme="majorEastAsia" w:eastAsiaTheme="majorEastAsia"/>
          <w:b/>
          <w:bCs/>
          <w:color w:val="auto"/>
          <w:sz w:val="36"/>
          <w:szCs w:val="28"/>
          <w:highlight w:val="none"/>
        </w:rPr>
      </w:pPr>
      <w:r>
        <w:rPr>
          <w:rFonts w:hint="eastAsia" w:asciiTheme="majorEastAsia" w:hAnsiTheme="majorEastAsia" w:eastAsiaTheme="majorEastAsia"/>
          <w:b/>
          <w:bCs/>
          <w:color w:val="auto"/>
          <w:sz w:val="36"/>
          <w:szCs w:val="28"/>
          <w:highlight w:val="none"/>
        </w:rPr>
        <w:t>室内外L</w:t>
      </w:r>
      <w:r>
        <w:rPr>
          <w:rFonts w:asciiTheme="majorEastAsia" w:hAnsiTheme="majorEastAsia" w:eastAsiaTheme="majorEastAsia"/>
          <w:b/>
          <w:bCs/>
          <w:color w:val="auto"/>
          <w:sz w:val="36"/>
          <w:szCs w:val="28"/>
          <w:highlight w:val="none"/>
        </w:rPr>
        <w:t>ED</w:t>
      </w:r>
      <w:r>
        <w:rPr>
          <w:rFonts w:hint="eastAsia" w:asciiTheme="majorEastAsia" w:hAnsiTheme="majorEastAsia" w:eastAsiaTheme="majorEastAsia"/>
          <w:b/>
          <w:bCs/>
          <w:color w:val="auto"/>
          <w:sz w:val="36"/>
          <w:szCs w:val="28"/>
          <w:highlight w:val="none"/>
        </w:rPr>
        <w:t>显示屏及控制系统工程</w:t>
      </w:r>
    </w:p>
    <w:p>
      <w:pPr>
        <w:widowControl/>
        <w:spacing w:before="560" w:beforeLines="100" w:after="280" w:afterLines="50"/>
        <w:jc w:val="center"/>
        <w:rPr>
          <w:rFonts w:asciiTheme="majorEastAsia" w:hAnsiTheme="majorEastAsia" w:eastAsiaTheme="majorEastAsia"/>
          <w:b/>
          <w:bCs/>
          <w:color w:val="auto"/>
          <w:sz w:val="36"/>
          <w:szCs w:val="28"/>
          <w:highlight w:val="none"/>
        </w:rPr>
      </w:pPr>
    </w:p>
    <w:p>
      <w:pPr>
        <w:widowControl/>
        <w:spacing w:before="560" w:beforeLines="100" w:after="280" w:afterLines="50"/>
        <w:jc w:val="center"/>
        <w:rPr>
          <w:rFonts w:asciiTheme="majorEastAsia" w:hAnsiTheme="majorEastAsia" w:eastAsiaTheme="majorEastAsia"/>
          <w:b/>
          <w:bCs/>
          <w:color w:val="auto"/>
          <w:sz w:val="56"/>
          <w:szCs w:val="48"/>
          <w:highlight w:val="none"/>
        </w:rPr>
      </w:pPr>
      <w:r>
        <w:rPr>
          <w:rFonts w:hint="eastAsia" w:asciiTheme="majorEastAsia" w:hAnsiTheme="majorEastAsia" w:eastAsiaTheme="majorEastAsia"/>
          <w:b/>
          <w:bCs/>
          <w:color w:val="auto"/>
          <w:sz w:val="56"/>
          <w:szCs w:val="48"/>
          <w:highlight w:val="none"/>
        </w:rPr>
        <w:t>招标文件</w:t>
      </w:r>
    </w:p>
    <w:p>
      <w:pPr>
        <w:widowControl/>
        <w:spacing w:before="560" w:beforeLines="100" w:after="280" w:afterLines="50"/>
        <w:jc w:val="center"/>
        <w:rPr>
          <w:rFonts w:asciiTheme="majorEastAsia" w:hAnsiTheme="majorEastAsia" w:eastAsiaTheme="majorEastAsia"/>
          <w:b/>
          <w:bCs/>
          <w:color w:val="auto"/>
          <w:sz w:val="56"/>
          <w:szCs w:val="48"/>
          <w:highlight w:val="none"/>
        </w:rPr>
      </w:pPr>
    </w:p>
    <w:p>
      <w:pPr>
        <w:widowControl/>
        <w:spacing w:before="560" w:beforeLines="100" w:after="280" w:afterLines="50"/>
        <w:jc w:val="center"/>
        <w:rPr>
          <w:rFonts w:asciiTheme="majorEastAsia" w:hAnsiTheme="majorEastAsia" w:eastAsiaTheme="majorEastAsia"/>
          <w:b/>
          <w:bCs/>
          <w:color w:val="auto"/>
          <w:sz w:val="56"/>
          <w:szCs w:val="48"/>
          <w:highlight w:val="none"/>
        </w:rPr>
      </w:pPr>
    </w:p>
    <w:p>
      <w:pPr>
        <w:widowControl/>
        <w:spacing w:before="560" w:beforeLines="100" w:after="280" w:afterLines="50"/>
        <w:jc w:val="center"/>
        <w:rPr>
          <w:rFonts w:asciiTheme="majorEastAsia" w:hAnsiTheme="majorEastAsia" w:eastAsiaTheme="majorEastAsia"/>
          <w:b/>
          <w:bCs/>
          <w:color w:val="auto"/>
          <w:sz w:val="56"/>
          <w:szCs w:val="48"/>
          <w:highlight w:val="none"/>
        </w:rPr>
      </w:pPr>
    </w:p>
    <w:p>
      <w:pPr>
        <w:widowControl/>
        <w:spacing w:before="560" w:beforeLines="100"/>
        <w:jc w:val="center"/>
        <w:rPr>
          <w:rFonts w:asciiTheme="majorEastAsia" w:hAnsiTheme="majorEastAsia" w:eastAsiaTheme="majorEastAsia"/>
          <w:b/>
          <w:bCs/>
          <w:color w:val="auto"/>
          <w:sz w:val="36"/>
          <w:szCs w:val="36"/>
          <w:highlight w:val="none"/>
        </w:rPr>
      </w:pPr>
      <w:r>
        <w:rPr>
          <w:rFonts w:hint="eastAsia" w:asciiTheme="majorEastAsia" w:hAnsiTheme="majorEastAsia" w:eastAsiaTheme="majorEastAsia"/>
          <w:b/>
          <w:bCs/>
          <w:color w:val="auto"/>
          <w:sz w:val="36"/>
          <w:szCs w:val="36"/>
          <w:highlight w:val="none"/>
          <w:lang w:val="en-US" w:eastAsia="zh-CN"/>
        </w:rPr>
        <w:t>深圳市深大土木教育基金会</w:t>
      </w:r>
      <w:r>
        <w:rPr>
          <w:rFonts w:hint="eastAsia" w:asciiTheme="majorEastAsia" w:hAnsiTheme="majorEastAsia" w:eastAsiaTheme="majorEastAsia"/>
          <w:b/>
          <w:bCs/>
          <w:color w:val="auto"/>
          <w:sz w:val="36"/>
          <w:szCs w:val="36"/>
          <w:highlight w:val="none"/>
        </w:rPr>
        <w:t>（招标机构）</w:t>
      </w:r>
    </w:p>
    <w:p>
      <w:pPr>
        <w:widowControl/>
        <w:jc w:val="center"/>
        <w:rPr>
          <w:rFonts w:asciiTheme="majorEastAsia" w:hAnsiTheme="majorEastAsia" w:eastAsiaTheme="majorEastAsia"/>
          <w:b/>
          <w:bCs/>
          <w:color w:val="auto"/>
          <w:sz w:val="36"/>
          <w:szCs w:val="36"/>
          <w:highlight w:val="none"/>
        </w:rPr>
      </w:pPr>
      <w:r>
        <w:rPr>
          <w:rFonts w:hint="eastAsia" w:asciiTheme="majorEastAsia" w:hAnsiTheme="majorEastAsia" w:eastAsiaTheme="majorEastAsia"/>
          <w:b/>
          <w:bCs/>
          <w:color w:val="auto"/>
          <w:sz w:val="36"/>
          <w:szCs w:val="36"/>
          <w:highlight w:val="none"/>
        </w:rPr>
        <w:t>2</w:t>
      </w:r>
      <w:r>
        <w:rPr>
          <w:rFonts w:asciiTheme="majorEastAsia" w:hAnsiTheme="majorEastAsia" w:eastAsiaTheme="majorEastAsia"/>
          <w:b/>
          <w:bCs/>
          <w:color w:val="auto"/>
          <w:sz w:val="36"/>
          <w:szCs w:val="36"/>
          <w:highlight w:val="none"/>
        </w:rPr>
        <w:t>023</w:t>
      </w:r>
      <w:r>
        <w:rPr>
          <w:rFonts w:hint="eastAsia" w:asciiTheme="majorEastAsia" w:hAnsiTheme="majorEastAsia" w:eastAsiaTheme="majorEastAsia"/>
          <w:b/>
          <w:bCs/>
          <w:color w:val="auto"/>
          <w:sz w:val="36"/>
          <w:szCs w:val="36"/>
          <w:highlight w:val="none"/>
        </w:rPr>
        <w:t>年5月</w:t>
      </w:r>
    </w:p>
    <w:p>
      <w:pPr>
        <w:widowControl/>
        <w:jc w:val="center"/>
        <w:rPr>
          <w:b/>
          <w:bCs/>
          <w:color w:val="auto"/>
          <w:sz w:val="32"/>
          <w:highlight w:val="none"/>
        </w:rPr>
      </w:pPr>
      <w:r>
        <w:rPr>
          <w:b/>
          <w:bCs/>
          <w:color w:val="auto"/>
          <w:sz w:val="32"/>
          <w:highlight w:val="none"/>
        </w:rPr>
        <w:br w:type="page"/>
      </w:r>
    </w:p>
    <w:sdt>
      <w:sdtPr>
        <w:rPr>
          <w:rFonts w:ascii="Times New Roman" w:hAnsi="Times New Roman" w:eastAsia="宋体" w:cs="Times New Roman"/>
          <w:color w:val="auto"/>
          <w:kern w:val="2"/>
          <w:sz w:val="24"/>
          <w:szCs w:val="24"/>
          <w:highlight w:val="none"/>
          <w:lang w:val="zh-CN"/>
        </w:rPr>
        <w:id w:val="-1"/>
        <w:docPartObj>
          <w:docPartGallery w:val="Table of Contents"/>
          <w:docPartUnique/>
        </w:docPartObj>
      </w:sdtPr>
      <w:sdtEndPr>
        <w:rPr>
          <w:rFonts w:ascii="Times New Roman" w:hAnsi="Times New Roman" w:eastAsia="宋体" w:cs="Times New Roman"/>
          <w:b/>
          <w:bCs/>
          <w:color w:val="auto"/>
          <w:kern w:val="2"/>
          <w:sz w:val="24"/>
          <w:szCs w:val="24"/>
          <w:highlight w:val="none"/>
          <w:lang w:val="zh-CN"/>
        </w:rPr>
      </w:sdtEndPr>
      <w:sdtContent>
        <w:p>
          <w:pPr>
            <w:pStyle w:val="24"/>
            <w:jc w:val="center"/>
            <w:rPr>
              <w:b/>
              <w:bCs/>
              <w:color w:val="auto"/>
              <w:highlight w:val="none"/>
            </w:rPr>
          </w:pPr>
          <w:r>
            <w:rPr>
              <w:color w:val="auto"/>
              <w:highlight w:val="none"/>
              <w:lang w:val="zh-CN"/>
            </w:rPr>
            <w:t>目录</w:t>
          </w:r>
        </w:p>
        <w:p>
          <w:pPr>
            <w:pStyle w:val="9"/>
            <w:tabs>
              <w:tab w:val="right" w:leader="dot" w:pos="8900"/>
              <w:tab w:val="clear" w:pos="8890"/>
            </w:tabs>
            <w:rPr>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_Toc2090 </w:instrText>
          </w:r>
          <w:r>
            <w:rPr>
              <w:color w:val="auto"/>
              <w:highlight w:val="none"/>
            </w:rPr>
            <w:fldChar w:fldCharType="separate"/>
          </w:r>
          <w:r>
            <w:rPr>
              <w:rFonts w:hint="eastAsia"/>
              <w:color w:val="auto"/>
              <w:highlight w:val="none"/>
            </w:rPr>
            <w:t>第一章　　投 标 须 知</w:t>
          </w:r>
          <w:r>
            <w:rPr>
              <w:color w:val="auto"/>
              <w:highlight w:val="none"/>
            </w:rPr>
            <w:tab/>
          </w:r>
          <w:r>
            <w:rPr>
              <w:color w:val="auto"/>
              <w:highlight w:val="none"/>
            </w:rPr>
            <w:fldChar w:fldCharType="begin"/>
          </w:r>
          <w:r>
            <w:rPr>
              <w:color w:val="auto"/>
              <w:highlight w:val="none"/>
            </w:rPr>
            <w:instrText xml:space="preserve"> PAGEREF _Toc2090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_Toc9265 </w:instrText>
          </w:r>
          <w:r>
            <w:rPr>
              <w:bCs/>
              <w:color w:val="auto"/>
              <w:highlight w:val="none"/>
              <w:lang w:val="zh-CN"/>
            </w:rPr>
            <w:fldChar w:fldCharType="separate"/>
          </w:r>
          <w:r>
            <w:rPr>
              <w:rFonts w:hint="eastAsia"/>
              <w:color w:val="auto"/>
              <w:highlight w:val="none"/>
            </w:rPr>
            <w:t xml:space="preserve">一、总 </w:t>
          </w:r>
          <w:r>
            <w:rPr>
              <w:color w:val="auto"/>
              <w:highlight w:val="none"/>
            </w:rPr>
            <w:t xml:space="preserve"> </w:t>
          </w:r>
          <w:r>
            <w:rPr>
              <w:rFonts w:hint="eastAsia"/>
              <w:color w:val="auto"/>
              <w:highlight w:val="none"/>
            </w:rPr>
            <w:t>则</w:t>
          </w:r>
          <w:r>
            <w:rPr>
              <w:color w:val="auto"/>
              <w:highlight w:val="none"/>
            </w:rPr>
            <w:tab/>
          </w:r>
          <w:r>
            <w:rPr>
              <w:color w:val="auto"/>
              <w:highlight w:val="none"/>
            </w:rPr>
            <w:fldChar w:fldCharType="begin"/>
          </w:r>
          <w:r>
            <w:rPr>
              <w:color w:val="auto"/>
              <w:highlight w:val="none"/>
            </w:rPr>
            <w:instrText xml:space="preserve"> PAGEREF _Toc9265 \h </w:instrText>
          </w:r>
          <w:r>
            <w:rPr>
              <w:color w:val="auto"/>
              <w:highlight w:val="none"/>
            </w:rPr>
            <w:fldChar w:fldCharType="separate"/>
          </w:r>
          <w:r>
            <w:rPr>
              <w:color w:val="auto"/>
              <w:highlight w:val="none"/>
            </w:rPr>
            <w:t>1</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_Toc17378 </w:instrText>
          </w:r>
          <w:r>
            <w:rPr>
              <w:bCs/>
              <w:color w:val="auto"/>
              <w:highlight w:val="none"/>
              <w:lang w:val="zh-CN"/>
            </w:rPr>
            <w:fldChar w:fldCharType="separate"/>
          </w:r>
          <w:r>
            <w:rPr>
              <w:rFonts w:hint="eastAsia"/>
              <w:color w:val="auto"/>
              <w:highlight w:val="none"/>
            </w:rPr>
            <w:t>（一）工程综合说明</w:t>
          </w:r>
          <w:r>
            <w:rPr>
              <w:color w:val="auto"/>
              <w:highlight w:val="none"/>
            </w:rPr>
            <w:tab/>
          </w:r>
          <w:r>
            <w:rPr>
              <w:color w:val="auto"/>
              <w:highlight w:val="none"/>
            </w:rPr>
            <w:fldChar w:fldCharType="begin"/>
          </w:r>
          <w:r>
            <w:rPr>
              <w:color w:val="auto"/>
              <w:highlight w:val="none"/>
            </w:rPr>
            <w:instrText xml:space="preserve"> PAGEREF _Toc17378 \h </w:instrText>
          </w:r>
          <w:r>
            <w:rPr>
              <w:color w:val="auto"/>
              <w:highlight w:val="none"/>
            </w:rPr>
            <w:fldChar w:fldCharType="separate"/>
          </w:r>
          <w:r>
            <w:rPr>
              <w:color w:val="auto"/>
              <w:highlight w:val="none"/>
            </w:rPr>
            <w:t>1</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_Toc21935 </w:instrText>
          </w:r>
          <w:r>
            <w:rPr>
              <w:bCs/>
              <w:color w:val="auto"/>
              <w:highlight w:val="none"/>
              <w:lang w:val="zh-CN"/>
            </w:rPr>
            <w:fldChar w:fldCharType="separate"/>
          </w:r>
          <w:r>
            <w:rPr>
              <w:rFonts w:hint="eastAsia"/>
              <w:color w:val="auto"/>
              <w:highlight w:val="none"/>
            </w:rPr>
            <w:t>（二）投标单位资格要求</w:t>
          </w:r>
          <w:r>
            <w:rPr>
              <w:color w:val="auto"/>
              <w:highlight w:val="none"/>
            </w:rPr>
            <w:tab/>
          </w:r>
          <w:r>
            <w:rPr>
              <w:color w:val="auto"/>
              <w:highlight w:val="none"/>
            </w:rPr>
            <w:fldChar w:fldCharType="begin"/>
          </w:r>
          <w:r>
            <w:rPr>
              <w:color w:val="auto"/>
              <w:highlight w:val="none"/>
            </w:rPr>
            <w:instrText xml:space="preserve"> PAGEREF _Toc21935 \h </w:instrText>
          </w:r>
          <w:r>
            <w:rPr>
              <w:color w:val="auto"/>
              <w:highlight w:val="none"/>
            </w:rPr>
            <w:fldChar w:fldCharType="separate"/>
          </w:r>
          <w:r>
            <w:rPr>
              <w:color w:val="auto"/>
              <w:highlight w:val="none"/>
            </w:rPr>
            <w:t>2</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_Toc10521 </w:instrText>
          </w:r>
          <w:r>
            <w:rPr>
              <w:bCs/>
              <w:color w:val="auto"/>
              <w:highlight w:val="none"/>
              <w:lang w:val="zh-CN"/>
            </w:rPr>
            <w:fldChar w:fldCharType="separate"/>
          </w:r>
          <w:r>
            <w:rPr>
              <w:rFonts w:hint="eastAsia"/>
              <w:color w:val="auto"/>
              <w:highlight w:val="none"/>
            </w:rPr>
            <w:t>（三）现场踏勘</w:t>
          </w:r>
          <w:r>
            <w:rPr>
              <w:color w:val="auto"/>
              <w:highlight w:val="none"/>
            </w:rPr>
            <w:tab/>
          </w:r>
          <w:r>
            <w:rPr>
              <w:color w:val="auto"/>
              <w:highlight w:val="none"/>
            </w:rPr>
            <w:fldChar w:fldCharType="begin"/>
          </w:r>
          <w:r>
            <w:rPr>
              <w:color w:val="auto"/>
              <w:highlight w:val="none"/>
            </w:rPr>
            <w:instrText xml:space="preserve"> PAGEREF _Toc10521 \h </w:instrText>
          </w:r>
          <w:r>
            <w:rPr>
              <w:color w:val="auto"/>
              <w:highlight w:val="none"/>
            </w:rPr>
            <w:fldChar w:fldCharType="separate"/>
          </w:r>
          <w:r>
            <w:rPr>
              <w:color w:val="auto"/>
              <w:highlight w:val="none"/>
            </w:rPr>
            <w:t>2</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_Toc16925 </w:instrText>
          </w:r>
          <w:r>
            <w:rPr>
              <w:bCs/>
              <w:color w:val="auto"/>
              <w:highlight w:val="none"/>
              <w:lang w:val="zh-CN"/>
            </w:rPr>
            <w:fldChar w:fldCharType="separate"/>
          </w:r>
          <w:r>
            <w:rPr>
              <w:rFonts w:hint="eastAsia"/>
              <w:color w:val="auto"/>
              <w:highlight w:val="none"/>
            </w:rPr>
            <w:t>（四）投标费用</w:t>
          </w:r>
          <w:r>
            <w:rPr>
              <w:color w:val="auto"/>
              <w:highlight w:val="none"/>
            </w:rPr>
            <w:tab/>
          </w:r>
          <w:r>
            <w:rPr>
              <w:color w:val="auto"/>
              <w:highlight w:val="none"/>
            </w:rPr>
            <w:fldChar w:fldCharType="begin"/>
          </w:r>
          <w:r>
            <w:rPr>
              <w:color w:val="auto"/>
              <w:highlight w:val="none"/>
            </w:rPr>
            <w:instrText xml:space="preserve"> PAGEREF _Toc16925 \h </w:instrText>
          </w:r>
          <w:r>
            <w:rPr>
              <w:color w:val="auto"/>
              <w:highlight w:val="none"/>
            </w:rPr>
            <w:fldChar w:fldCharType="separate"/>
          </w:r>
          <w:r>
            <w:rPr>
              <w:color w:val="auto"/>
              <w:highlight w:val="none"/>
            </w:rPr>
            <w:t>3</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_Toc29757 </w:instrText>
          </w:r>
          <w:r>
            <w:rPr>
              <w:bCs/>
              <w:color w:val="auto"/>
              <w:highlight w:val="none"/>
              <w:lang w:val="zh-CN"/>
            </w:rPr>
            <w:fldChar w:fldCharType="separate"/>
          </w:r>
          <w:r>
            <w:rPr>
              <w:rFonts w:hint="eastAsia"/>
              <w:color w:val="auto"/>
              <w:highlight w:val="none"/>
            </w:rPr>
            <w:t>二、招标文件</w:t>
          </w:r>
          <w:r>
            <w:rPr>
              <w:color w:val="auto"/>
              <w:highlight w:val="none"/>
            </w:rPr>
            <w:tab/>
          </w:r>
          <w:r>
            <w:rPr>
              <w:color w:val="auto"/>
              <w:highlight w:val="none"/>
            </w:rPr>
            <w:fldChar w:fldCharType="begin"/>
          </w:r>
          <w:r>
            <w:rPr>
              <w:color w:val="auto"/>
              <w:highlight w:val="none"/>
            </w:rPr>
            <w:instrText xml:space="preserve"> PAGEREF _Toc29757 \h </w:instrText>
          </w:r>
          <w:r>
            <w:rPr>
              <w:color w:val="auto"/>
              <w:highlight w:val="none"/>
            </w:rPr>
            <w:fldChar w:fldCharType="separate"/>
          </w:r>
          <w:r>
            <w:rPr>
              <w:color w:val="auto"/>
              <w:highlight w:val="none"/>
            </w:rPr>
            <w:t>3</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_Toc390 </w:instrText>
          </w:r>
          <w:r>
            <w:rPr>
              <w:bCs/>
              <w:color w:val="auto"/>
              <w:highlight w:val="none"/>
              <w:lang w:val="zh-CN"/>
            </w:rPr>
            <w:fldChar w:fldCharType="separate"/>
          </w:r>
          <w:r>
            <w:rPr>
              <w:rFonts w:hint="eastAsia"/>
              <w:color w:val="auto"/>
              <w:highlight w:val="none"/>
            </w:rPr>
            <w:t>（一）招标文件的组成</w:t>
          </w:r>
          <w:r>
            <w:rPr>
              <w:color w:val="auto"/>
              <w:highlight w:val="none"/>
            </w:rPr>
            <w:tab/>
          </w:r>
          <w:r>
            <w:rPr>
              <w:color w:val="auto"/>
              <w:highlight w:val="none"/>
            </w:rPr>
            <w:fldChar w:fldCharType="begin"/>
          </w:r>
          <w:r>
            <w:rPr>
              <w:color w:val="auto"/>
              <w:highlight w:val="none"/>
            </w:rPr>
            <w:instrText xml:space="preserve"> PAGEREF _Toc390 \h </w:instrText>
          </w:r>
          <w:r>
            <w:rPr>
              <w:color w:val="auto"/>
              <w:highlight w:val="none"/>
            </w:rPr>
            <w:fldChar w:fldCharType="separate"/>
          </w:r>
          <w:r>
            <w:rPr>
              <w:color w:val="auto"/>
              <w:highlight w:val="none"/>
            </w:rPr>
            <w:t>3</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_Toc23839 </w:instrText>
          </w:r>
          <w:r>
            <w:rPr>
              <w:bCs/>
              <w:color w:val="auto"/>
              <w:highlight w:val="none"/>
              <w:lang w:val="zh-CN"/>
            </w:rPr>
            <w:fldChar w:fldCharType="separate"/>
          </w:r>
          <w:r>
            <w:rPr>
              <w:rFonts w:hint="eastAsia"/>
              <w:color w:val="auto"/>
              <w:highlight w:val="none"/>
            </w:rPr>
            <w:t>（二）招标文件的澄清、修改和补充</w:t>
          </w:r>
          <w:r>
            <w:rPr>
              <w:color w:val="auto"/>
              <w:highlight w:val="none"/>
            </w:rPr>
            <w:tab/>
          </w:r>
          <w:r>
            <w:rPr>
              <w:color w:val="auto"/>
              <w:highlight w:val="none"/>
            </w:rPr>
            <w:fldChar w:fldCharType="begin"/>
          </w:r>
          <w:r>
            <w:rPr>
              <w:color w:val="auto"/>
              <w:highlight w:val="none"/>
            </w:rPr>
            <w:instrText xml:space="preserve"> PAGEREF _Toc23839 \h </w:instrText>
          </w:r>
          <w:r>
            <w:rPr>
              <w:color w:val="auto"/>
              <w:highlight w:val="none"/>
            </w:rPr>
            <w:fldChar w:fldCharType="separate"/>
          </w:r>
          <w:r>
            <w:rPr>
              <w:color w:val="auto"/>
              <w:highlight w:val="none"/>
            </w:rPr>
            <w:t>3</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_Toc13477 </w:instrText>
          </w:r>
          <w:r>
            <w:rPr>
              <w:bCs/>
              <w:color w:val="auto"/>
              <w:highlight w:val="none"/>
              <w:lang w:val="zh-CN"/>
            </w:rPr>
            <w:fldChar w:fldCharType="separate"/>
          </w:r>
          <w:r>
            <w:rPr>
              <w:rFonts w:hint="eastAsia"/>
              <w:color w:val="auto"/>
              <w:highlight w:val="none"/>
            </w:rPr>
            <w:t>（三）投标人应尽义务</w:t>
          </w:r>
          <w:r>
            <w:rPr>
              <w:color w:val="auto"/>
              <w:highlight w:val="none"/>
            </w:rPr>
            <w:tab/>
          </w:r>
          <w:r>
            <w:rPr>
              <w:color w:val="auto"/>
              <w:highlight w:val="none"/>
            </w:rPr>
            <w:fldChar w:fldCharType="begin"/>
          </w:r>
          <w:r>
            <w:rPr>
              <w:color w:val="auto"/>
              <w:highlight w:val="none"/>
            </w:rPr>
            <w:instrText xml:space="preserve"> PAGEREF _Toc13477 \h </w:instrText>
          </w:r>
          <w:r>
            <w:rPr>
              <w:color w:val="auto"/>
              <w:highlight w:val="none"/>
            </w:rPr>
            <w:fldChar w:fldCharType="separate"/>
          </w:r>
          <w:r>
            <w:rPr>
              <w:color w:val="auto"/>
              <w:highlight w:val="none"/>
            </w:rPr>
            <w:t>3</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_Toc20755 </w:instrText>
          </w:r>
          <w:r>
            <w:rPr>
              <w:bCs/>
              <w:color w:val="auto"/>
              <w:highlight w:val="none"/>
              <w:lang w:val="zh-CN"/>
            </w:rPr>
            <w:fldChar w:fldCharType="separate"/>
          </w:r>
          <w:r>
            <w:rPr>
              <w:rFonts w:hint="eastAsia"/>
              <w:color w:val="auto"/>
              <w:highlight w:val="none"/>
            </w:rPr>
            <w:t>三、投标文件</w:t>
          </w:r>
          <w:r>
            <w:rPr>
              <w:color w:val="auto"/>
              <w:highlight w:val="none"/>
            </w:rPr>
            <w:tab/>
          </w:r>
          <w:r>
            <w:rPr>
              <w:color w:val="auto"/>
              <w:highlight w:val="none"/>
            </w:rPr>
            <w:fldChar w:fldCharType="begin"/>
          </w:r>
          <w:r>
            <w:rPr>
              <w:color w:val="auto"/>
              <w:highlight w:val="none"/>
            </w:rPr>
            <w:instrText xml:space="preserve"> PAGEREF _Toc20755 \h </w:instrText>
          </w:r>
          <w:r>
            <w:rPr>
              <w:color w:val="auto"/>
              <w:highlight w:val="none"/>
            </w:rPr>
            <w:fldChar w:fldCharType="separate"/>
          </w:r>
          <w:r>
            <w:rPr>
              <w:color w:val="auto"/>
              <w:highlight w:val="none"/>
            </w:rPr>
            <w:t>4</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_Toc11511 </w:instrText>
          </w:r>
          <w:r>
            <w:rPr>
              <w:bCs/>
              <w:color w:val="auto"/>
              <w:highlight w:val="none"/>
              <w:lang w:val="zh-CN"/>
            </w:rPr>
            <w:fldChar w:fldCharType="separate"/>
          </w:r>
          <w:r>
            <w:rPr>
              <w:rFonts w:hint="eastAsia"/>
              <w:color w:val="auto"/>
              <w:highlight w:val="none"/>
            </w:rPr>
            <w:t>（一）说明</w:t>
          </w:r>
          <w:r>
            <w:rPr>
              <w:color w:val="auto"/>
              <w:highlight w:val="none"/>
            </w:rPr>
            <w:tab/>
          </w:r>
          <w:r>
            <w:rPr>
              <w:color w:val="auto"/>
              <w:highlight w:val="none"/>
            </w:rPr>
            <w:fldChar w:fldCharType="begin"/>
          </w:r>
          <w:r>
            <w:rPr>
              <w:color w:val="auto"/>
              <w:highlight w:val="none"/>
            </w:rPr>
            <w:instrText xml:space="preserve"> PAGEREF _Toc11511 \h </w:instrText>
          </w:r>
          <w:r>
            <w:rPr>
              <w:color w:val="auto"/>
              <w:highlight w:val="none"/>
            </w:rPr>
            <w:fldChar w:fldCharType="separate"/>
          </w:r>
          <w:r>
            <w:rPr>
              <w:color w:val="auto"/>
              <w:highlight w:val="none"/>
            </w:rPr>
            <w:t>4</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_Toc30514 </w:instrText>
          </w:r>
          <w:r>
            <w:rPr>
              <w:bCs/>
              <w:color w:val="auto"/>
              <w:highlight w:val="none"/>
              <w:lang w:val="zh-CN"/>
            </w:rPr>
            <w:fldChar w:fldCharType="separate"/>
          </w:r>
          <w:r>
            <w:rPr>
              <w:rFonts w:hint="eastAsia"/>
              <w:color w:val="auto"/>
              <w:highlight w:val="none"/>
            </w:rPr>
            <w:t>（二）投标报价</w:t>
          </w:r>
          <w:r>
            <w:rPr>
              <w:color w:val="auto"/>
              <w:highlight w:val="none"/>
            </w:rPr>
            <w:tab/>
          </w:r>
          <w:r>
            <w:rPr>
              <w:color w:val="auto"/>
              <w:highlight w:val="none"/>
            </w:rPr>
            <w:fldChar w:fldCharType="begin"/>
          </w:r>
          <w:r>
            <w:rPr>
              <w:color w:val="auto"/>
              <w:highlight w:val="none"/>
            </w:rPr>
            <w:instrText xml:space="preserve"> PAGEREF _Toc30514 \h </w:instrText>
          </w:r>
          <w:r>
            <w:rPr>
              <w:color w:val="auto"/>
              <w:highlight w:val="none"/>
            </w:rPr>
            <w:fldChar w:fldCharType="separate"/>
          </w:r>
          <w:r>
            <w:rPr>
              <w:color w:val="auto"/>
              <w:highlight w:val="none"/>
            </w:rPr>
            <w:t>4</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_Toc27260 </w:instrText>
          </w:r>
          <w:r>
            <w:rPr>
              <w:bCs/>
              <w:color w:val="auto"/>
              <w:highlight w:val="none"/>
              <w:lang w:val="zh-CN"/>
            </w:rPr>
            <w:fldChar w:fldCharType="separate"/>
          </w:r>
          <w:r>
            <w:rPr>
              <w:rFonts w:hint="eastAsia"/>
              <w:color w:val="auto"/>
              <w:highlight w:val="none"/>
            </w:rPr>
            <w:t>（三）投标文件组成</w:t>
          </w:r>
          <w:r>
            <w:rPr>
              <w:color w:val="auto"/>
              <w:highlight w:val="none"/>
            </w:rPr>
            <w:tab/>
          </w:r>
          <w:r>
            <w:rPr>
              <w:color w:val="auto"/>
              <w:highlight w:val="none"/>
            </w:rPr>
            <w:fldChar w:fldCharType="begin"/>
          </w:r>
          <w:r>
            <w:rPr>
              <w:color w:val="auto"/>
              <w:highlight w:val="none"/>
            </w:rPr>
            <w:instrText xml:space="preserve"> PAGEREF _Toc27260 \h </w:instrText>
          </w:r>
          <w:r>
            <w:rPr>
              <w:color w:val="auto"/>
              <w:highlight w:val="none"/>
            </w:rPr>
            <w:fldChar w:fldCharType="separate"/>
          </w:r>
          <w:r>
            <w:rPr>
              <w:color w:val="auto"/>
              <w:highlight w:val="none"/>
            </w:rPr>
            <w:t>4</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_Toc6047 </w:instrText>
          </w:r>
          <w:r>
            <w:rPr>
              <w:bCs/>
              <w:color w:val="auto"/>
              <w:highlight w:val="none"/>
              <w:lang w:val="zh-CN"/>
            </w:rPr>
            <w:fldChar w:fldCharType="separate"/>
          </w:r>
          <w:r>
            <w:rPr>
              <w:rFonts w:hint="eastAsia"/>
              <w:color w:val="auto"/>
              <w:szCs w:val="44"/>
              <w:highlight w:val="none"/>
            </w:rPr>
            <w:t>（</w:t>
          </w:r>
          <w:r>
            <w:rPr>
              <w:rFonts w:hint="eastAsia"/>
              <w:color w:val="auto"/>
              <w:highlight w:val="none"/>
            </w:rPr>
            <w:t>四</w:t>
          </w:r>
          <w:r>
            <w:rPr>
              <w:rFonts w:hint="eastAsia"/>
              <w:color w:val="auto"/>
              <w:szCs w:val="44"/>
              <w:highlight w:val="none"/>
            </w:rPr>
            <w:t>）</w:t>
          </w:r>
          <w:r>
            <w:rPr>
              <w:rFonts w:hint="eastAsia"/>
              <w:color w:val="auto"/>
              <w:highlight w:val="none"/>
            </w:rPr>
            <w:t>投标文件制作规则</w:t>
          </w:r>
          <w:r>
            <w:rPr>
              <w:color w:val="auto"/>
              <w:highlight w:val="none"/>
            </w:rPr>
            <w:tab/>
          </w:r>
          <w:r>
            <w:rPr>
              <w:color w:val="auto"/>
              <w:highlight w:val="none"/>
            </w:rPr>
            <w:fldChar w:fldCharType="begin"/>
          </w:r>
          <w:r>
            <w:rPr>
              <w:color w:val="auto"/>
              <w:highlight w:val="none"/>
            </w:rPr>
            <w:instrText xml:space="preserve"> PAGEREF _Toc6047 \h </w:instrText>
          </w:r>
          <w:r>
            <w:rPr>
              <w:color w:val="auto"/>
              <w:highlight w:val="none"/>
            </w:rPr>
            <w:fldChar w:fldCharType="separate"/>
          </w:r>
          <w:r>
            <w:rPr>
              <w:color w:val="auto"/>
              <w:highlight w:val="none"/>
            </w:rPr>
            <w:t>5</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_Toc17508 </w:instrText>
          </w:r>
          <w:r>
            <w:rPr>
              <w:bCs/>
              <w:color w:val="auto"/>
              <w:highlight w:val="none"/>
              <w:lang w:val="zh-CN"/>
            </w:rPr>
            <w:fldChar w:fldCharType="separate"/>
          </w:r>
          <w:r>
            <w:rPr>
              <w:rFonts w:hint="eastAsia"/>
              <w:color w:val="auto"/>
              <w:highlight w:val="none"/>
            </w:rPr>
            <w:t>四、投标文件密封和提交</w:t>
          </w:r>
          <w:r>
            <w:rPr>
              <w:color w:val="auto"/>
              <w:highlight w:val="none"/>
            </w:rPr>
            <w:tab/>
          </w:r>
          <w:r>
            <w:rPr>
              <w:color w:val="auto"/>
              <w:highlight w:val="none"/>
            </w:rPr>
            <w:fldChar w:fldCharType="begin"/>
          </w:r>
          <w:r>
            <w:rPr>
              <w:color w:val="auto"/>
              <w:highlight w:val="none"/>
            </w:rPr>
            <w:instrText xml:space="preserve"> PAGEREF _Toc17508 \h </w:instrText>
          </w:r>
          <w:r>
            <w:rPr>
              <w:color w:val="auto"/>
              <w:highlight w:val="none"/>
            </w:rPr>
            <w:fldChar w:fldCharType="separate"/>
          </w:r>
          <w:r>
            <w:rPr>
              <w:color w:val="auto"/>
              <w:highlight w:val="none"/>
            </w:rPr>
            <w:t>6</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_Toc1530 </w:instrText>
          </w:r>
          <w:r>
            <w:rPr>
              <w:bCs/>
              <w:color w:val="auto"/>
              <w:highlight w:val="none"/>
              <w:lang w:val="zh-CN"/>
            </w:rPr>
            <w:fldChar w:fldCharType="separate"/>
          </w:r>
          <w:r>
            <w:rPr>
              <w:rFonts w:hint="eastAsia"/>
              <w:color w:val="auto"/>
              <w:highlight w:val="none"/>
            </w:rPr>
            <w:t>（一）投标文件的密封与标志</w:t>
          </w:r>
          <w:r>
            <w:rPr>
              <w:color w:val="auto"/>
              <w:highlight w:val="none"/>
            </w:rPr>
            <w:tab/>
          </w:r>
          <w:r>
            <w:rPr>
              <w:color w:val="auto"/>
              <w:highlight w:val="none"/>
            </w:rPr>
            <w:fldChar w:fldCharType="begin"/>
          </w:r>
          <w:r>
            <w:rPr>
              <w:color w:val="auto"/>
              <w:highlight w:val="none"/>
            </w:rPr>
            <w:instrText xml:space="preserve"> PAGEREF _Toc1530 \h </w:instrText>
          </w:r>
          <w:r>
            <w:rPr>
              <w:color w:val="auto"/>
              <w:highlight w:val="none"/>
            </w:rPr>
            <w:fldChar w:fldCharType="separate"/>
          </w:r>
          <w:r>
            <w:rPr>
              <w:color w:val="auto"/>
              <w:highlight w:val="none"/>
            </w:rPr>
            <w:t>6</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_Toc31801 </w:instrText>
          </w:r>
          <w:r>
            <w:rPr>
              <w:bCs/>
              <w:color w:val="auto"/>
              <w:highlight w:val="none"/>
              <w:lang w:val="zh-CN"/>
            </w:rPr>
            <w:fldChar w:fldCharType="separate"/>
          </w:r>
          <w:r>
            <w:rPr>
              <w:rFonts w:hint="eastAsia"/>
              <w:color w:val="auto"/>
              <w:highlight w:val="none"/>
            </w:rPr>
            <w:t>（二）投标文件提交地点和截止时间</w:t>
          </w:r>
          <w:r>
            <w:rPr>
              <w:color w:val="auto"/>
              <w:highlight w:val="none"/>
            </w:rPr>
            <w:tab/>
          </w:r>
          <w:r>
            <w:rPr>
              <w:color w:val="auto"/>
              <w:highlight w:val="none"/>
            </w:rPr>
            <w:fldChar w:fldCharType="begin"/>
          </w:r>
          <w:r>
            <w:rPr>
              <w:color w:val="auto"/>
              <w:highlight w:val="none"/>
            </w:rPr>
            <w:instrText xml:space="preserve"> PAGEREF _Toc31801 \h </w:instrText>
          </w:r>
          <w:r>
            <w:rPr>
              <w:color w:val="auto"/>
              <w:highlight w:val="none"/>
            </w:rPr>
            <w:fldChar w:fldCharType="separate"/>
          </w:r>
          <w:r>
            <w:rPr>
              <w:color w:val="auto"/>
              <w:highlight w:val="none"/>
            </w:rPr>
            <w:t>6</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_Toc28775 </w:instrText>
          </w:r>
          <w:r>
            <w:rPr>
              <w:bCs/>
              <w:color w:val="auto"/>
              <w:highlight w:val="none"/>
              <w:lang w:val="zh-CN"/>
            </w:rPr>
            <w:fldChar w:fldCharType="separate"/>
          </w:r>
          <w:r>
            <w:rPr>
              <w:rFonts w:hint="eastAsia"/>
              <w:color w:val="auto"/>
              <w:highlight w:val="none"/>
            </w:rPr>
            <w:t>（三）投标文件的修改或撤回</w:t>
          </w:r>
          <w:r>
            <w:rPr>
              <w:color w:val="auto"/>
              <w:highlight w:val="none"/>
            </w:rPr>
            <w:tab/>
          </w:r>
          <w:r>
            <w:rPr>
              <w:color w:val="auto"/>
              <w:highlight w:val="none"/>
            </w:rPr>
            <w:fldChar w:fldCharType="begin"/>
          </w:r>
          <w:r>
            <w:rPr>
              <w:color w:val="auto"/>
              <w:highlight w:val="none"/>
            </w:rPr>
            <w:instrText xml:space="preserve"> PAGEREF _Toc28775 \h </w:instrText>
          </w:r>
          <w:r>
            <w:rPr>
              <w:color w:val="auto"/>
              <w:highlight w:val="none"/>
            </w:rPr>
            <w:fldChar w:fldCharType="separate"/>
          </w:r>
          <w:r>
            <w:rPr>
              <w:color w:val="auto"/>
              <w:highlight w:val="none"/>
            </w:rPr>
            <w:t>6</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_Toc14152 </w:instrText>
          </w:r>
          <w:r>
            <w:rPr>
              <w:bCs/>
              <w:color w:val="auto"/>
              <w:highlight w:val="none"/>
              <w:lang w:val="zh-CN"/>
            </w:rPr>
            <w:fldChar w:fldCharType="separate"/>
          </w:r>
          <w:r>
            <w:rPr>
              <w:rFonts w:hint="eastAsia"/>
              <w:color w:val="auto"/>
              <w:highlight w:val="none"/>
            </w:rPr>
            <w:t>（四）投标文件不予受理的情况</w:t>
          </w:r>
          <w:r>
            <w:rPr>
              <w:color w:val="auto"/>
              <w:highlight w:val="none"/>
            </w:rPr>
            <w:tab/>
          </w:r>
          <w:r>
            <w:rPr>
              <w:color w:val="auto"/>
              <w:highlight w:val="none"/>
            </w:rPr>
            <w:fldChar w:fldCharType="begin"/>
          </w:r>
          <w:r>
            <w:rPr>
              <w:color w:val="auto"/>
              <w:highlight w:val="none"/>
            </w:rPr>
            <w:instrText xml:space="preserve"> PAGEREF _Toc14152 \h </w:instrText>
          </w:r>
          <w:r>
            <w:rPr>
              <w:color w:val="auto"/>
              <w:highlight w:val="none"/>
            </w:rPr>
            <w:fldChar w:fldCharType="separate"/>
          </w:r>
          <w:r>
            <w:rPr>
              <w:color w:val="auto"/>
              <w:highlight w:val="none"/>
            </w:rPr>
            <w:t>6</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_Toc16342 </w:instrText>
          </w:r>
          <w:r>
            <w:rPr>
              <w:bCs/>
              <w:color w:val="auto"/>
              <w:highlight w:val="none"/>
              <w:lang w:val="zh-CN"/>
            </w:rPr>
            <w:fldChar w:fldCharType="separate"/>
          </w:r>
          <w:r>
            <w:rPr>
              <w:rFonts w:hint="eastAsia"/>
              <w:color w:val="auto"/>
              <w:highlight w:val="none"/>
            </w:rPr>
            <w:t>五、开标、评标、定标</w:t>
          </w:r>
          <w:r>
            <w:rPr>
              <w:color w:val="auto"/>
              <w:highlight w:val="none"/>
            </w:rPr>
            <w:tab/>
          </w:r>
          <w:r>
            <w:rPr>
              <w:color w:val="auto"/>
              <w:highlight w:val="none"/>
            </w:rPr>
            <w:fldChar w:fldCharType="begin"/>
          </w:r>
          <w:r>
            <w:rPr>
              <w:color w:val="auto"/>
              <w:highlight w:val="none"/>
            </w:rPr>
            <w:instrText xml:space="preserve"> PAGEREF _Toc16342 \h </w:instrText>
          </w:r>
          <w:r>
            <w:rPr>
              <w:color w:val="auto"/>
              <w:highlight w:val="none"/>
            </w:rPr>
            <w:fldChar w:fldCharType="separate"/>
          </w:r>
          <w:r>
            <w:rPr>
              <w:color w:val="auto"/>
              <w:highlight w:val="none"/>
            </w:rPr>
            <w:t>7</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_Toc30800 </w:instrText>
          </w:r>
          <w:r>
            <w:rPr>
              <w:bCs/>
              <w:color w:val="auto"/>
              <w:highlight w:val="none"/>
              <w:lang w:val="zh-CN"/>
            </w:rPr>
            <w:fldChar w:fldCharType="separate"/>
          </w:r>
          <w:r>
            <w:rPr>
              <w:rFonts w:hint="eastAsia"/>
              <w:color w:val="auto"/>
              <w:highlight w:val="none"/>
            </w:rPr>
            <w:t>（一）开标</w:t>
          </w:r>
          <w:r>
            <w:rPr>
              <w:color w:val="auto"/>
              <w:highlight w:val="none"/>
            </w:rPr>
            <w:tab/>
          </w:r>
          <w:r>
            <w:rPr>
              <w:color w:val="auto"/>
              <w:highlight w:val="none"/>
            </w:rPr>
            <w:fldChar w:fldCharType="begin"/>
          </w:r>
          <w:r>
            <w:rPr>
              <w:color w:val="auto"/>
              <w:highlight w:val="none"/>
            </w:rPr>
            <w:instrText xml:space="preserve"> PAGEREF _Toc30800 \h </w:instrText>
          </w:r>
          <w:r>
            <w:rPr>
              <w:color w:val="auto"/>
              <w:highlight w:val="none"/>
            </w:rPr>
            <w:fldChar w:fldCharType="separate"/>
          </w:r>
          <w:r>
            <w:rPr>
              <w:color w:val="auto"/>
              <w:highlight w:val="none"/>
            </w:rPr>
            <w:t>7</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_Toc23397 </w:instrText>
          </w:r>
          <w:r>
            <w:rPr>
              <w:bCs/>
              <w:color w:val="auto"/>
              <w:highlight w:val="none"/>
              <w:lang w:val="zh-CN"/>
            </w:rPr>
            <w:fldChar w:fldCharType="separate"/>
          </w:r>
          <w:r>
            <w:rPr>
              <w:rFonts w:hint="eastAsia"/>
              <w:color w:val="auto"/>
              <w:highlight w:val="none"/>
            </w:rPr>
            <w:t>（二）无效投标文件说明</w:t>
          </w:r>
          <w:r>
            <w:rPr>
              <w:color w:val="auto"/>
              <w:highlight w:val="none"/>
            </w:rPr>
            <w:tab/>
          </w:r>
          <w:r>
            <w:rPr>
              <w:color w:val="auto"/>
              <w:highlight w:val="none"/>
            </w:rPr>
            <w:fldChar w:fldCharType="begin"/>
          </w:r>
          <w:r>
            <w:rPr>
              <w:color w:val="auto"/>
              <w:highlight w:val="none"/>
            </w:rPr>
            <w:instrText xml:space="preserve"> PAGEREF _Toc23397 \h </w:instrText>
          </w:r>
          <w:r>
            <w:rPr>
              <w:color w:val="auto"/>
              <w:highlight w:val="none"/>
            </w:rPr>
            <w:fldChar w:fldCharType="separate"/>
          </w:r>
          <w:r>
            <w:rPr>
              <w:color w:val="auto"/>
              <w:highlight w:val="none"/>
            </w:rPr>
            <w:t>8</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_Toc17354 </w:instrText>
          </w:r>
          <w:r>
            <w:rPr>
              <w:bCs/>
              <w:color w:val="auto"/>
              <w:highlight w:val="none"/>
              <w:lang w:val="zh-CN"/>
            </w:rPr>
            <w:fldChar w:fldCharType="separate"/>
          </w:r>
          <w:r>
            <w:rPr>
              <w:rFonts w:hint="eastAsia"/>
              <w:color w:val="auto"/>
              <w:highlight w:val="none"/>
            </w:rPr>
            <w:t>（三）评标</w:t>
          </w:r>
          <w:r>
            <w:rPr>
              <w:color w:val="auto"/>
              <w:highlight w:val="none"/>
            </w:rPr>
            <w:tab/>
          </w:r>
          <w:r>
            <w:rPr>
              <w:color w:val="auto"/>
              <w:highlight w:val="none"/>
            </w:rPr>
            <w:fldChar w:fldCharType="begin"/>
          </w:r>
          <w:r>
            <w:rPr>
              <w:color w:val="auto"/>
              <w:highlight w:val="none"/>
            </w:rPr>
            <w:instrText xml:space="preserve"> PAGEREF _Toc17354 \h </w:instrText>
          </w:r>
          <w:r>
            <w:rPr>
              <w:color w:val="auto"/>
              <w:highlight w:val="none"/>
            </w:rPr>
            <w:fldChar w:fldCharType="separate"/>
          </w:r>
          <w:r>
            <w:rPr>
              <w:color w:val="auto"/>
              <w:highlight w:val="none"/>
            </w:rPr>
            <w:t>9</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_Toc28704 </w:instrText>
          </w:r>
          <w:r>
            <w:rPr>
              <w:bCs/>
              <w:color w:val="auto"/>
              <w:highlight w:val="none"/>
              <w:lang w:val="zh-CN"/>
            </w:rPr>
            <w:fldChar w:fldCharType="separate"/>
          </w:r>
          <w:r>
            <w:rPr>
              <w:rFonts w:hint="eastAsia"/>
              <w:color w:val="auto"/>
              <w:highlight w:val="none"/>
            </w:rPr>
            <w:t>（四）投标文件的澄清</w:t>
          </w:r>
          <w:r>
            <w:rPr>
              <w:color w:val="auto"/>
              <w:highlight w:val="none"/>
            </w:rPr>
            <w:tab/>
          </w:r>
          <w:r>
            <w:rPr>
              <w:color w:val="auto"/>
              <w:highlight w:val="none"/>
            </w:rPr>
            <w:fldChar w:fldCharType="begin"/>
          </w:r>
          <w:r>
            <w:rPr>
              <w:color w:val="auto"/>
              <w:highlight w:val="none"/>
            </w:rPr>
            <w:instrText xml:space="preserve"> PAGEREF _Toc28704 \h </w:instrText>
          </w:r>
          <w:r>
            <w:rPr>
              <w:color w:val="auto"/>
              <w:highlight w:val="none"/>
            </w:rPr>
            <w:fldChar w:fldCharType="separate"/>
          </w:r>
          <w:r>
            <w:rPr>
              <w:color w:val="auto"/>
              <w:highlight w:val="none"/>
            </w:rPr>
            <w:t>9</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_Toc11073 </w:instrText>
          </w:r>
          <w:r>
            <w:rPr>
              <w:bCs/>
              <w:color w:val="auto"/>
              <w:highlight w:val="none"/>
              <w:lang w:val="zh-CN"/>
            </w:rPr>
            <w:fldChar w:fldCharType="separate"/>
          </w:r>
          <w:r>
            <w:rPr>
              <w:rFonts w:hint="eastAsia"/>
              <w:color w:val="auto"/>
              <w:highlight w:val="none"/>
            </w:rPr>
            <w:t>（五）定标办法</w:t>
          </w:r>
          <w:r>
            <w:rPr>
              <w:color w:val="auto"/>
              <w:highlight w:val="none"/>
            </w:rPr>
            <w:tab/>
          </w:r>
          <w:r>
            <w:rPr>
              <w:color w:val="auto"/>
              <w:highlight w:val="none"/>
            </w:rPr>
            <w:fldChar w:fldCharType="begin"/>
          </w:r>
          <w:r>
            <w:rPr>
              <w:color w:val="auto"/>
              <w:highlight w:val="none"/>
            </w:rPr>
            <w:instrText xml:space="preserve"> PAGEREF _Toc11073 \h </w:instrText>
          </w:r>
          <w:r>
            <w:rPr>
              <w:color w:val="auto"/>
              <w:highlight w:val="none"/>
            </w:rPr>
            <w:fldChar w:fldCharType="separate"/>
          </w:r>
          <w:r>
            <w:rPr>
              <w:color w:val="auto"/>
              <w:highlight w:val="none"/>
            </w:rPr>
            <w:t>10</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_Toc10085 </w:instrText>
          </w:r>
          <w:r>
            <w:rPr>
              <w:bCs/>
              <w:color w:val="auto"/>
              <w:highlight w:val="none"/>
              <w:lang w:val="zh-CN"/>
            </w:rPr>
            <w:fldChar w:fldCharType="separate"/>
          </w:r>
          <w:r>
            <w:rPr>
              <w:rFonts w:hint="eastAsia"/>
              <w:color w:val="auto"/>
              <w:highlight w:val="none"/>
            </w:rPr>
            <w:t>（六）未中标解释</w:t>
          </w:r>
          <w:r>
            <w:rPr>
              <w:color w:val="auto"/>
              <w:highlight w:val="none"/>
            </w:rPr>
            <w:tab/>
          </w:r>
          <w:r>
            <w:rPr>
              <w:color w:val="auto"/>
              <w:highlight w:val="none"/>
            </w:rPr>
            <w:fldChar w:fldCharType="begin"/>
          </w:r>
          <w:r>
            <w:rPr>
              <w:color w:val="auto"/>
              <w:highlight w:val="none"/>
            </w:rPr>
            <w:instrText xml:space="preserve"> PAGEREF _Toc10085 \h </w:instrText>
          </w:r>
          <w:r>
            <w:rPr>
              <w:color w:val="auto"/>
              <w:highlight w:val="none"/>
            </w:rPr>
            <w:fldChar w:fldCharType="separate"/>
          </w:r>
          <w:r>
            <w:rPr>
              <w:color w:val="auto"/>
              <w:highlight w:val="none"/>
            </w:rPr>
            <w:t>10</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_Toc8338 </w:instrText>
          </w:r>
          <w:r>
            <w:rPr>
              <w:bCs/>
              <w:color w:val="auto"/>
              <w:highlight w:val="none"/>
              <w:lang w:val="zh-CN"/>
            </w:rPr>
            <w:fldChar w:fldCharType="separate"/>
          </w:r>
          <w:r>
            <w:rPr>
              <w:rFonts w:hint="eastAsia"/>
              <w:color w:val="auto"/>
              <w:highlight w:val="none"/>
            </w:rPr>
            <w:t>（七）取消中标资格的情况</w:t>
          </w:r>
          <w:r>
            <w:rPr>
              <w:color w:val="auto"/>
              <w:highlight w:val="none"/>
            </w:rPr>
            <w:tab/>
          </w:r>
          <w:r>
            <w:rPr>
              <w:color w:val="auto"/>
              <w:highlight w:val="none"/>
            </w:rPr>
            <w:fldChar w:fldCharType="begin"/>
          </w:r>
          <w:r>
            <w:rPr>
              <w:color w:val="auto"/>
              <w:highlight w:val="none"/>
            </w:rPr>
            <w:instrText xml:space="preserve"> PAGEREF _Toc8338 \h </w:instrText>
          </w:r>
          <w:r>
            <w:rPr>
              <w:color w:val="auto"/>
              <w:highlight w:val="none"/>
            </w:rPr>
            <w:fldChar w:fldCharType="separate"/>
          </w:r>
          <w:r>
            <w:rPr>
              <w:color w:val="auto"/>
              <w:highlight w:val="none"/>
            </w:rPr>
            <w:t>10</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_Toc18866 </w:instrText>
          </w:r>
          <w:r>
            <w:rPr>
              <w:bCs/>
              <w:color w:val="auto"/>
              <w:highlight w:val="none"/>
              <w:lang w:val="zh-CN"/>
            </w:rPr>
            <w:fldChar w:fldCharType="separate"/>
          </w:r>
          <w:r>
            <w:rPr>
              <w:rFonts w:hint="eastAsia"/>
              <w:color w:val="auto"/>
              <w:highlight w:val="none"/>
            </w:rPr>
            <w:t>（八）投诉</w:t>
          </w:r>
          <w:r>
            <w:rPr>
              <w:color w:val="auto"/>
              <w:highlight w:val="none"/>
            </w:rPr>
            <w:tab/>
          </w:r>
          <w:r>
            <w:rPr>
              <w:color w:val="auto"/>
              <w:highlight w:val="none"/>
            </w:rPr>
            <w:fldChar w:fldCharType="begin"/>
          </w:r>
          <w:r>
            <w:rPr>
              <w:color w:val="auto"/>
              <w:highlight w:val="none"/>
            </w:rPr>
            <w:instrText xml:space="preserve"> PAGEREF _Toc18866 \h </w:instrText>
          </w:r>
          <w:r>
            <w:rPr>
              <w:color w:val="auto"/>
              <w:highlight w:val="none"/>
            </w:rPr>
            <w:fldChar w:fldCharType="separate"/>
          </w:r>
          <w:r>
            <w:rPr>
              <w:color w:val="auto"/>
              <w:highlight w:val="none"/>
            </w:rPr>
            <w:t>11</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_Toc14351 </w:instrText>
          </w:r>
          <w:r>
            <w:rPr>
              <w:bCs/>
              <w:color w:val="auto"/>
              <w:highlight w:val="none"/>
              <w:lang w:val="zh-CN"/>
            </w:rPr>
            <w:fldChar w:fldCharType="separate"/>
          </w:r>
          <w:r>
            <w:rPr>
              <w:rFonts w:hint="eastAsia"/>
              <w:color w:val="auto"/>
              <w:highlight w:val="none"/>
            </w:rPr>
            <w:t>六、授 予 合 同</w:t>
          </w:r>
          <w:r>
            <w:rPr>
              <w:color w:val="auto"/>
              <w:highlight w:val="none"/>
            </w:rPr>
            <w:tab/>
          </w:r>
          <w:r>
            <w:rPr>
              <w:color w:val="auto"/>
              <w:highlight w:val="none"/>
            </w:rPr>
            <w:fldChar w:fldCharType="begin"/>
          </w:r>
          <w:r>
            <w:rPr>
              <w:color w:val="auto"/>
              <w:highlight w:val="none"/>
            </w:rPr>
            <w:instrText xml:space="preserve"> PAGEREF _Toc14351 \h </w:instrText>
          </w:r>
          <w:r>
            <w:rPr>
              <w:color w:val="auto"/>
              <w:highlight w:val="none"/>
            </w:rPr>
            <w:fldChar w:fldCharType="separate"/>
          </w:r>
          <w:r>
            <w:rPr>
              <w:color w:val="auto"/>
              <w:highlight w:val="none"/>
            </w:rPr>
            <w:t>11</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_Toc30894 </w:instrText>
          </w:r>
          <w:r>
            <w:rPr>
              <w:bCs/>
              <w:color w:val="auto"/>
              <w:highlight w:val="none"/>
              <w:lang w:val="zh-CN"/>
            </w:rPr>
            <w:fldChar w:fldCharType="separate"/>
          </w:r>
          <w:r>
            <w:rPr>
              <w:rFonts w:hint="eastAsia"/>
              <w:color w:val="auto"/>
              <w:highlight w:val="none"/>
            </w:rPr>
            <w:t>第二章  显示屏技术参数</w:t>
          </w:r>
          <w:r>
            <w:rPr>
              <w:color w:val="auto"/>
              <w:highlight w:val="none"/>
            </w:rPr>
            <w:tab/>
          </w:r>
          <w:r>
            <w:rPr>
              <w:color w:val="auto"/>
              <w:highlight w:val="none"/>
            </w:rPr>
            <w:fldChar w:fldCharType="begin"/>
          </w:r>
          <w:r>
            <w:rPr>
              <w:color w:val="auto"/>
              <w:highlight w:val="none"/>
            </w:rPr>
            <w:instrText xml:space="preserve"> PAGEREF _Toc30894 \h </w:instrText>
          </w:r>
          <w:r>
            <w:rPr>
              <w:color w:val="auto"/>
              <w:highlight w:val="none"/>
            </w:rPr>
            <w:fldChar w:fldCharType="separate"/>
          </w:r>
          <w:r>
            <w:rPr>
              <w:color w:val="auto"/>
              <w:highlight w:val="none"/>
            </w:rPr>
            <w:t>14</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_Toc30939 </w:instrText>
          </w:r>
          <w:r>
            <w:rPr>
              <w:bCs/>
              <w:color w:val="auto"/>
              <w:highlight w:val="none"/>
              <w:lang w:val="zh-CN"/>
            </w:rPr>
            <w:fldChar w:fldCharType="separate"/>
          </w:r>
          <w:r>
            <w:rPr>
              <w:rFonts w:hint="eastAsia"/>
              <w:color w:val="auto"/>
              <w:highlight w:val="none"/>
            </w:rPr>
            <w:t>一、室外全彩技术参数要求</w:t>
          </w:r>
          <w:r>
            <w:rPr>
              <w:color w:val="auto"/>
              <w:highlight w:val="none"/>
            </w:rPr>
            <w:tab/>
          </w:r>
          <w:r>
            <w:rPr>
              <w:color w:val="auto"/>
              <w:highlight w:val="none"/>
            </w:rPr>
            <w:fldChar w:fldCharType="begin"/>
          </w:r>
          <w:r>
            <w:rPr>
              <w:color w:val="auto"/>
              <w:highlight w:val="none"/>
            </w:rPr>
            <w:instrText xml:space="preserve"> PAGEREF _Toc30939 \h </w:instrText>
          </w:r>
          <w:r>
            <w:rPr>
              <w:color w:val="auto"/>
              <w:highlight w:val="none"/>
            </w:rPr>
            <w:fldChar w:fldCharType="separate"/>
          </w:r>
          <w:r>
            <w:rPr>
              <w:color w:val="auto"/>
              <w:highlight w:val="none"/>
            </w:rPr>
            <w:t>14</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_Toc17064 </w:instrText>
          </w:r>
          <w:r>
            <w:rPr>
              <w:bCs/>
              <w:color w:val="auto"/>
              <w:highlight w:val="none"/>
              <w:lang w:val="zh-CN"/>
            </w:rPr>
            <w:fldChar w:fldCharType="separate"/>
          </w:r>
          <w:r>
            <w:rPr>
              <w:color w:val="auto"/>
              <w:highlight w:val="none"/>
            </w:rPr>
            <w:t>1</w:t>
          </w:r>
          <w:r>
            <w:rPr>
              <w:rFonts w:hint="eastAsia"/>
              <w:color w:val="auto"/>
              <w:highlight w:val="none"/>
            </w:rPr>
            <w:t>．全彩</w:t>
          </w:r>
          <w:r>
            <w:rPr>
              <w:rFonts w:hint="eastAsia" w:ascii="宋体" w:hAnsi="宋体"/>
              <w:color w:val="auto"/>
              <w:highlight w:val="none"/>
            </w:rPr>
            <w:t>模组介绍</w:t>
          </w:r>
          <w:r>
            <w:rPr>
              <w:color w:val="auto"/>
              <w:highlight w:val="none"/>
            </w:rPr>
            <w:tab/>
          </w:r>
          <w:r>
            <w:rPr>
              <w:color w:val="auto"/>
              <w:highlight w:val="none"/>
            </w:rPr>
            <w:fldChar w:fldCharType="begin"/>
          </w:r>
          <w:r>
            <w:rPr>
              <w:color w:val="auto"/>
              <w:highlight w:val="none"/>
            </w:rPr>
            <w:instrText xml:space="preserve"> PAGEREF _Toc17064 \h </w:instrText>
          </w:r>
          <w:r>
            <w:rPr>
              <w:color w:val="auto"/>
              <w:highlight w:val="none"/>
            </w:rPr>
            <w:fldChar w:fldCharType="separate"/>
          </w:r>
          <w:r>
            <w:rPr>
              <w:color w:val="auto"/>
              <w:highlight w:val="none"/>
            </w:rPr>
            <w:t>14</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_Toc5364 </w:instrText>
          </w:r>
          <w:r>
            <w:rPr>
              <w:bCs/>
              <w:color w:val="auto"/>
              <w:highlight w:val="none"/>
              <w:lang w:val="zh-CN"/>
            </w:rPr>
            <w:fldChar w:fldCharType="separate"/>
          </w:r>
          <w:r>
            <w:rPr>
              <w:color w:val="auto"/>
              <w:highlight w:val="none"/>
            </w:rPr>
            <w:t>2</w:t>
          </w:r>
          <w:r>
            <w:rPr>
              <w:rFonts w:hint="eastAsia"/>
              <w:color w:val="auto"/>
              <w:highlight w:val="none"/>
            </w:rPr>
            <w:t>．管芯参数</w:t>
          </w:r>
          <w:r>
            <w:rPr>
              <w:color w:val="auto"/>
              <w:highlight w:val="none"/>
            </w:rPr>
            <w:tab/>
          </w:r>
          <w:r>
            <w:rPr>
              <w:color w:val="auto"/>
              <w:highlight w:val="none"/>
            </w:rPr>
            <w:fldChar w:fldCharType="begin"/>
          </w:r>
          <w:r>
            <w:rPr>
              <w:color w:val="auto"/>
              <w:highlight w:val="none"/>
            </w:rPr>
            <w:instrText xml:space="preserve"> PAGEREF _Toc5364 \h </w:instrText>
          </w:r>
          <w:r>
            <w:rPr>
              <w:color w:val="auto"/>
              <w:highlight w:val="none"/>
            </w:rPr>
            <w:fldChar w:fldCharType="separate"/>
          </w:r>
          <w:r>
            <w:rPr>
              <w:color w:val="auto"/>
              <w:highlight w:val="none"/>
            </w:rPr>
            <w:t>14</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_Toc8932 </w:instrText>
          </w:r>
          <w:r>
            <w:rPr>
              <w:bCs/>
              <w:color w:val="auto"/>
              <w:highlight w:val="none"/>
              <w:lang w:val="zh-CN"/>
            </w:rPr>
            <w:fldChar w:fldCharType="separate"/>
          </w:r>
          <w:r>
            <w:rPr>
              <w:rFonts w:hint="eastAsia"/>
              <w:color w:val="auto"/>
              <w:highlight w:val="none"/>
            </w:rPr>
            <w:t>3．全彩</w:t>
          </w:r>
          <w:r>
            <w:rPr>
              <w:rFonts w:hint="eastAsia" w:ascii="宋体" w:hAnsi="宋体"/>
              <w:color w:val="auto"/>
              <w:highlight w:val="none"/>
            </w:rPr>
            <w:t>屏体参数</w:t>
          </w:r>
          <w:r>
            <w:rPr>
              <w:color w:val="auto"/>
              <w:highlight w:val="none"/>
            </w:rPr>
            <w:tab/>
          </w:r>
          <w:r>
            <w:rPr>
              <w:color w:val="auto"/>
              <w:highlight w:val="none"/>
            </w:rPr>
            <w:fldChar w:fldCharType="begin"/>
          </w:r>
          <w:r>
            <w:rPr>
              <w:color w:val="auto"/>
              <w:highlight w:val="none"/>
            </w:rPr>
            <w:instrText xml:space="preserve"> PAGEREF _Toc8932 \h </w:instrText>
          </w:r>
          <w:r>
            <w:rPr>
              <w:color w:val="auto"/>
              <w:highlight w:val="none"/>
            </w:rPr>
            <w:fldChar w:fldCharType="separate"/>
          </w:r>
          <w:r>
            <w:rPr>
              <w:color w:val="auto"/>
              <w:highlight w:val="none"/>
            </w:rPr>
            <w:t>14</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_Toc28361 </w:instrText>
          </w:r>
          <w:r>
            <w:rPr>
              <w:bCs/>
              <w:color w:val="auto"/>
              <w:highlight w:val="none"/>
              <w:lang w:val="zh-CN"/>
            </w:rPr>
            <w:fldChar w:fldCharType="separate"/>
          </w:r>
          <w:r>
            <w:rPr>
              <w:rFonts w:hint="eastAsia"/>
              <w:color w:val="auto"/>
              <w:highlight w:val="none"/>
            </w:rPr>
            <w:t>二、室内全彩技术参数要求</w:t>
          </w:r>
          <w:r>
            <w:rPr>
              <w:color w:val="auto"/>
              <w:highlight w:val="none"/>
            </w:rPr>
            <w:tab/>
          </w:r>
          <w:r>
            <w:rPr>
              <w:color w:val="auto"/>
              <w:highlight w:val="none"/>
            </w:rPr>
            <w:fldChar w:fldCharType="begin"/>
          </w:r>
          <w:r>
            <w:rPr>
              <w:color w:val="auto"/>
              <w:highlight w:val="none"/>
            </w:rPr>
            <w:instrText xml:space="preserve"> PAGEREF _Toc28361 \h </w:instrText>
          </w:r>
          <w:r>
            <w:rPr>
              <w:color w:val="auto"/>
              <w:highlight w:val="none"/>
            </w:rPr>
            <w:fldChar w:fldCharType="separate"/>
          </w:r>
          <w:r>
            <w:rPr>
              <w:color w:val="auto"/>
              <w:highlight w:val="none"/>
            </w:rPr>
            <w:t>15</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_Toc23912 </w:instrText>
          </w:r>
          <w:r>
            <w:rPr>
              <w:bCs/>
              <w:color w:val="auto"/>
              <w:highlight w:val="none"/>
              <w:lang w:val="zh-CN"/>
            </w:rPr>
            <w:fldChar w:fldCharType="separate"/>
          </w:r>
          <w:r>
            <w:rPr>
              <w:color w:val="auto"/>
              <w:highlight w:val="none"/>
            </w:rPr>
            <w:t>1</w:t>
          </w:r>
          <w:r>
            <w:rPr>
              <w:rFonts w:hint="eastAsia"/>
              <w:color w:val="auto"/>
              <w:highlight w:val="none"/>
            </w:rPr>
            <w:t>．全彩</w:t>
          </w:r>
          <w:r>
            <w:rPr>
              <w:rFonts w:hint="eastAsia" w:ascii="宋体" w:hAnsi="宋体"/>
              <w:color w:val="auto"/>
              <w:highlight w:val="none"/>
            </w:rPr>
            <w:t>模组介绍</w:t>
          </w:r>
          <w:r>
            <w:rPr>
              <w:color w:val="auto"/>
              <w:highlight w:val="none"/>
            </w:rPr>
            <w:tab/>
          </w:r>
          <w:r>
            <w:rPr>
              <w:color w:val="auto"/>
              <w:highlight w:val="none"/>
            </w:rPr>
            <w:fldChar w:fldCharType="begin"/>
          </w:r>
          <w:r>
            <w:rPr>
              <w:color w:val="auto"/>
              <w:highlight w:val="none"/>
            </w:rPr>
            <w:instrText xml:space="preserve"> PAGEREF _Toc23912 \h </w:instrText>
          </w:r>
          <w:r>
            <w:rPr>
              <w:color w:val="auto"/>
              <w:highlight w:val="none"/>
            </w:rPr>
            <w:fldChar w:fldCharType="separate"/>
          </w:r>
          <w:r>
            <w:rPr>
              <w:color w:val="auto"/>
              <w:highlight w:val="none"/>
            </w:rPr>
            <w:t>15</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_Toc16467 </w:instrText>
          </w:r>
          <w:r>
            <w:rPr>
              <w:bCs/>
              <w:color w:val="auto"/>
              <w:highlight w:val="none"/>
              <w:lang w:val="zh-CN"/>
            </w:rPr>
            <w:fldChar w:fldCharType="separate"/>
          </w:r>
          <w:r>
            <w:rPr>
              <w:color w:val="auto"/>
              <w:highlight w:val="none"/>
            </w:rPr>
            <w:t>2</w:t>
          </w:r>
          <w:r>
            <w:rPr>
              <w:rFonts w:hint="eastAsia"/>
              <w:color w:val="auto"/>
              <w:highlight w:val="none"/>
            </w:rPr>
            <w:t>．管芯参数</w:t>
          </w:r>
          <w:r>
            <w:rPr>
              <w:color w:val="auto"/>
              <w:highlight w:val="none"/>
            </w:rPr>
            <w:tab/>
          </w:r>
          <w:r>
            <w:rPr>
              <w:color w:val="auto"/>
              <w:highlight w:val="none"/>
            </w:rPr>
            <w:fldChar w:fldCharType="begin"/>
          </w:r>
          <w:r>
            <w:rPr>
              <w:color w:val="auto"/>
              <w:highlight w:val="none"/>
            </w:rPr>
            <w:instrText xml:space="preserve"> PAGEREF _Toc16467 \h </w:instrText>
          </w:r>
          <w:r>
            <w:rPr>
              <w:color w:val="auto"/>
              <w:highlight w:val="none"/>
            </w:rPr>
            <w:fldChar w:fldCharType="separate"/>
          </w:r>
          <w:r>
            <w:rPr>
              <w:color w:val="auto"/>
              <w:highlight w:val="none"/>
            </w:rPr>
            <w:t>15</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_Toc23085 </w:instrText>
          </w:r>
          <w:r>
            <w:rPr>
              <w:bCs/>
              <w:color w:val="auto"/>
              <w:highlight w:val="none"/>
              <w:lang w:val="zh-CN"/>
            </w:rPr>
            <w:fldChar w:fldCharType="separate"/>
          </w:r>
          <w:r>
            <w:rPr>
              <w:rFonts w:hint="eastAsia"/>
              <w:color w:val="auto"/>
              <w:highlight w:val="none"/>
            </w:rPr>
            <w:t>3．全彩</w:t>
          </w:r>
          <w:r>
            <w:rPr>
              <w:rFonts w:hint="eastAsia" w:ascii="宋体" w:hAnsi="宋体"/>
              <w:color w:val="auto"/>
              <w:highlight w:val="none"/>
            </w:rPr>
            <w:t>屏体参数</w:t>
          </w:r>
          <w:r>
            <w:rPr>
              <w:color w:val="auto"/>
              <w:highlight w:val="none"/>
            </w:rPr>
            <w:tab/>
          </w:r>
          <w:r>
            <w:rPr>
              <w:color w:val="auto"/>
              <w:highlight w:val="none"/>
            </w:rPr>
            <w:fldChar w:fldCharType="begin"/>
          </w:r>
          <w:r>
            <w:rPr>
              <w:color w:val="auto"/>
              <w:highlight w:val="none"/>
            </w:rPr>
            <w:instrText xml:space="preserve"> PAGEREF _Toc23085 \h </w:instrText>
          </w:r>
          <w:r>
            <w:rPr>
              <w:color w:val="auto"/>
              <w:highlight w:val="none"/>
            </w:rPr>
            <w:fldChar w:fldCharType="separate"/>
          </w:r>
          <w:r>
            <w:rPr>
              <w:color w:val="auto"/>
              <w:highlight w:val="none"/>
            </w:rPr>
            <w:t>15</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_Toc6141 </w:instrText>
          </w:r>
          <w:r>
            <w:rPr>
              <w:bCs/>
              <w:color w:val="auto"/>
              <w:highlight w:val="none"/>
              <w:lang w:val="zh-CN"/>
            </w:rPr>
            <w:fldChar w:fldCharType="separate"/>
          </w:r>
          <w:r>
            <w:rPr>
              <w:rFonts w:hint="eastAsia"/>
              <w:color w:val="auto"/>
              <w:highlight w:val="none"/>
            </w:rPr>
            <w:t>三、控制设备技术参数</w:t>
          </w:r>
          <w:r>
            <w:rPr>
              <w:color w:val="auto"/>
              <w:highlight w:val="none"/>
            </w:rPr>
            <w:tab/>
          </w:r>
          <w:r>
            <w:rPr>
              <w:color w:val="auto"/>
              <w:highlight w:val="none"/>
            </w:rPr>
            <w:fldChar w:fldCharType="begin"/>
          </w:r>
          <w:r>
            <w:rPr>
              <w:color w:val="auto"/>
              <w:highlight w:val="none"/>
            </w:rPr>
            <w:instrText xml:space="preserve"> PAGEREF _Toc6141 \h </w:instrText>
          </w:r>
          <w:r>
            <w:rPr>
              <w:color w:val="auto"/>
              <w:highlight w:val="none"/>
            </w:rPr>
            <w:fldChar w:fldCharType="separate"/>
          </w:r>
          <w:r>
            <w:rPr>
              <w:color w:val="auto"/>
              <w:highlight w:val="none"/>
            </w:rPr>
            <w:t>16</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_Toc736 </w:instrText>
          </w:r>
          <w:r>
            <w:rPr>
              <w:bCs/>
              <w:color w:val="auto"/>
              <w:highlight w:val="none"/>
              <w:lang w:val="zh-CN"/>
            </w:rPr>
            <w:fldChar w:fldCharType="separate"/>
          </w:r>
          <w:r>
            <w:rPr>
              <w:color w:val="auto"/>
              <w:highlight w:val="none"/>
            </w:rPr>
            <w:t>1</w:t>
          </w:r>
          <w:r>
            <w:rPr>
              <w:rFonts w:hint="eastAsia"/>
              <w:color w:val="auto"/>
              <w:highlight w:val="none"/>
            </w:rPr>
            <w:t>．控制屏技术要求</w:t>
          </w:r>
          <w:r>
            <w:rPr>
              <w:color w:val="auto"/>
              <w:highlight w:val="none"/>
            </w:rPr>
            <w:tab/>
          </w:r>
          <w:r>
            <w:rPr>
              <w:color w:val="auto"/>
              <w:highlight w:val="none"/>
            </w:rPr>
            <w:fldChar w:fldCharType="begin"/>
          </w:r>
          <w:r>
            <w:rPr>
              <w:color w:val="auto"/>
              <w:highlight w:val="none"/>
            </w:rPr>
            <w:instrText xml:space="preserve"> PAGEREF _Toc736 \h </w:instrText>
          </w:r>
          <w:r>
            <w:rPr>
              <w:color w:val="auto"/>
              <w:highlight w:val="none"/>
            </w:rPr>
            <w:fldChar w:fldCharType="separate"/>
          </w:r>
          <w:r>
            <w:rPr>
              <w:color w:val="auto"/>
              <w:highlight w:val="none"/>
            </w:rPr>
            <w:t>16</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_Toc16878 </w:instrText>
          </w:r>
          <w:r>
            <w:rPr>
              <w:bCs/>
              <w:color w:val="auto"/>
              <w:highlight w:val="none"/>
              <w:lang w:val="zh-CN"/>
            </w:rPr>
            <w:fldChar w:fldCharType="separate"/>
          </w:r>
          <w:r>
            <w:rPr>
              <w:color w:val="auto"/>
              <w:highlight w:val="none"/>
            </w:rPr>
            <w:t>2</w:t>
          </w:r>
          <w:r>
            <w:rPr>
              <w:rFonts w:hint="eastAsia"/>
              <w:color w:val="auto"/>
              <w:highlight w:val="none"/>
            </w:rPr>
            <w:t>．控制模块技术要求</w:t>
          </w:r>
          <w:r>
            <w:rPr>
              <w:color w:val="auto"/>
              <w:highlight w:val="none"/>
            </w:rPr>
            <w:tab/>
          </w:r>
          <w:r>
            <w:rPr>
              <w:color w:val="auto"/>
              <w:highlight w:val="none"/>
            </w:rPr>
            <w:fldChar w:fldCharType="begin"/>
          </w:r>
          <w:r>
            <w:rPr>
              <w:color w:val="auto"/>
              <w:highlight w:val="none"/>
            </w:rPr>
            <w:instrText xml:space="preserve"> PAGEREF _Toc16878 \h </w:instrText>
          </w:r>
          <w:r>
            <w:rPr>
              <w:color w:val="auto"/>
              <w:highlight w:val="none"/>
            </w:rPr>
            <w:fldChar w:fldCharType="separate"/>
          </w:r>
          <w:r>
            <w:rPr>
              <w:color w:val="auto"/>
              <w:highlight w:val="none"/>
            </w:rPr>
            <w:t>17</w:t>
          </w:r>
          <w:r>
            <w:rPr>
              <w:color w:val="auto"/>
              <w:highlight w:val="none"/>
            </w:rPr>
            <w:fldChar w:fldCharType="end"/>
          </w:r>
          <w:r>
            <w:rPr>
              <w:bCs/>
              <w:color w:val="auto"/>
              <w:highlight w:val="none"/>
              <w:lang w:val="zh-CN"/>
            </w:rPr>
            <w:fldChar w:fldCharType="end"/>
          </w:r>
        </w:p>
        <w:p>
          <w:pPr>
            <w:pStyle w:val="12"/>
            <w:tabs>
              <w:tab w:val="right" w:leader="dot" w:pos="8900"/>
            </w:tabs>
            <w:rPr>
              <w:color w:val="auto"/>
              <w:highlight w:val="none"/>
            </w:rPr>
          </w:pPr>
          <w:r>
            <w:rPr>
              <w:bCs/>
              <w:color w:val="auto"/>
              <w:highlight w:val="none"/>
              <w:lang w:val="zh-CN"/>
            </w:rPr>
            <w:fldChar w:fldCharType="begin"/>
          </w:r>
          <w:r>
            <w:rPr>
              <w:bCs/>
              <w:color w:val="auto"/>
              <w:highlight w:val="none"/>
              <w:lang w:val="zh-CN"/>
            </w:rPr>
            <w:instrText xml:space="preserve"> HYPERLINK \l _Toc32659 </w:instrText>
          </w:r>
          <w:r>
            <w:rPr>
              <w:bCs/>
              <w:color w:val="auto"/>
              <w:highlight w:val="none"/>
              <w:lang w:val="zh-CN"/>
            </w:rPr>
            <w:fldChar w:fldCharType="separate"/>
          </w:r>
          <w:r>
            <w:rPr>
              <w:color w:val="auto"/>
              <w:highlight w:val="none"/>
            </w:rPr>
            <w:t xml:space="preserve">3． </w:t>
          </w:r>
          <w:r>
            <w:rPr>
              <w:rFonts w:hint="eastAsia"/>
              <w:color w:val="auto"/>
              <w:highlight w:val="none"/>
            </w:rPr>
            <w:t>建议品牌</w:t>
          </w:r>
          <w:r>
            <w:rPr>
              <w:color w:val="auto"/>
              <w:highlight w:val="none"/>
            </w:rPr>
            <w:tab/>
          </w:r>
          <w:r>
            <w:rPr>
              <w:color w:val="auto"/>
              <w:highlight w:val="none"/>
            </w:rPr>
            <w:fldChar w:fldCharType="begin"/>
          </w:r>
          <w:r>
            <w:rPr>
              <w:color w:val="auto"/>
              <w:highlight w:val="none"/>
            </w:rPr>
            <w:instrText xml:space="preserve"> PAGEREF _Toc32659 \h </w:instrText>
          </w:r>
          <w:r>
            <w:rPr>
              <w:color w:val="auto"/>
              <w:highlight w:val="none"/>
            </w:rPr>
            <w:fldChar w:fldCharType="separate"/>
          </w:r>
          <w:r>
            <w:rPr>
              <w:color w:val="auto"/>
              <w:highlight w:val="none"/>
            </w:rPr>
            <w:t>17</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_Toc10344 </w:instrText>
          </w:r>
          <w:r>
            <w:rPr>
              <w:bCs/>
              <w:color w:val="auto"/>
              <w:highlight w:val="none"/>
              <w:lang w:val="zh-CN"/>
            </w:rPr>
            <w:fldChar w:fldCharType="separate"/>
          </w:r>
          <w:r>
            <w:rPr>
              <w:rFonts w:hint="eastAsia"/>
              <w:color w:val="auto"/>
              <w:highlight w:val="none"/>
            </w:rPr>
            <w:t>第三章 投标书格式</w:t>
          </w:r>
          <w:r>
            <w:rPr>
              <w:color w:val="auto"/>
              <w:highlight w:val="none"/>
            </w:rPr>
            <w:tab/>
          </w:r>
          <w:r>
            <w:rPr>
              <w:color w:val="auto"/>
              <w:highlight w:val="none"/>
            </w:rPr>
            <w:fldChar w:fldCharType="begin"/>
          </w:r>
          <w:r>
            <w:rPr>
              <w:color w:val="auto"/>
              <w:highlight w:val="none"/>
            </w:rPr>
            <w:instrText xml:space="preserve"> PAGEREF _Toc10344 \h </w:instrText>
          </w:r>
          <w:r>
            <w:rPr>
              <w:color w:val="auto"/>
              <w:highlight w:val="none"/>
            </w:rPr>
            <w:fldChar w:fldCharType="separate"/>
          </w:r>
          <w:r>
            <w:rPr>
              <w:color w:val="auto"/>
              <w:highlight w:val="none"/>
            </w:rPr>
            <w:t>18</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_Toc21007 </w:instrText>
          </w:r>
          <w:r>
            <w:rPr>
              <w:bCs/>
              <w:color w:val="auto"/>
              <w:highlight w:val="none"/>
              <w:lang w:val="zh-CN"/>
            </w:rPr>
            <w:fldChar w:fldCharType="separate"/>
          </w:r>
          <w:r>
            <w:rPr>
              <w:rFonts w:hint="eastAsia"/>
              <w:color w:val="auto"/>
              <w:highlight w:val="none"/>
            </w:rPr>
            <w:t>附件1</w:t>
          </w:r>
          <w:r>
            <w:rPr>
              <w:color w:val="auto"/>
              <w:highlight w:val="none"/>
            </w:rPr>
            <w:tab/>
          </w:r>
          <w:r>
            <w:rPr>
              <w:color w:val="auto"/>
              <w:highlight w:val="none"/>
            </w:rPr>
            <w:fldChar w:fldCharType="begin"/>
          </w:r>
          <w:r>
            <w:rPr>
              <w:color w:val="auto"/>
              <w:highlight w:val="none"/>
            </w:rPr>
            <w:instrText xml:space="preserve"> PAGEREF _Toc21007 \h </w:instrText>
          </w:r>
          <w:r>
            <w:rPr>
              <w:color w:val="auto"/>
              <w:highlight w:val="none"/>
            </w:rPr>
            <w:fldChar w:fldCharType="separate"/>
          </w:r>
          <w:r>
            <w:rPr>
              <w:color w:val="auto"/>
              <w:highlight w:val="none"/>
            </w:rPr>
            <w:t>19</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_Toc19545 </w:instrText>
          </w:r>
          <w:r>
            <w:rPr>
              <w:bCs/>
              <w:color w:val="auto"/>
              <w:highlight w:val="none"/>
              <w:lang w:val="zh-CN"/>
            </w:rPr>
            <w:fldChar w:fldCharType="separate"/>
          </w:r>
          <w:r>
            <w:rPr>
              <w:rFonts w:hint="eastAsia"/>
              <w:color w:val="auto"/>
              <w:highlight w:val="none"/>
            </w:rPr>
            <w:t>附件2</w:t>
          </w:r>
          <w:r>
            <w:rPr>
              <w:color w:val="auto"/>
              <w:highlight w:val="none"/>
            </w:rPr>
            <w:tab/>
          </w:r>
          <w:r>
            <w:rPr>
              <w:color w:val="auto"/>
              <w:highlight w:val="none"/>
            </w:rPr>
            <w:fldChar w:fldCharType="begin"/>
          </w:r>
          <w:r>
            <w:rPr>
              <w:color w:val="auto"/>
              <w:highlight w:val="none"/>
            </w:rPr>
            <w:instrText xml:space="preserve"> PAGEREF _Toc19545 \h </w:instrText>
          </w:r>
          <w:r>
            <w:rPr>
              <w:color w:val="auto"/>
              <w:highlight w:val="none"/>
            </w:rPr>
            <w:fldChar w:fldCharType="separate"/>
          </w:r>
          <w:r>
            <w:rPr>
              <w:color w:val="auto"/>
              <w:highlight w:val="none"/>
            </w:rPr>
            <w:t>20</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_Toc3242 </w:instrText>
          </w:r>
          <w:r>
            <w:rPr>
              <w:bCs/>
              <w:color w:val="auto"/>
              <w:highlight w:val="none"/>
              <w:lang w:val="zh-CN"/>
            </w:rPr>
            <w:fldChar w:fldCharType="separate"/>
          </w:r>
          <w:r>
            <w:rPr>
              <w:rFonts w:hint="eastAsia"/>
              <w:color w:val="auto"/>
              <w:highlight w:val="none"/>
            </w:rPr>
            <w:t>附件3</w:t>
          </w:r>
          <w:r>
            <w:rPr>
              <w:color w:val="auto"/>
              <w:highlight w:val="none"/>
            </w:rPr>
            <w:tab/>
          </w:r>
          <w:r>
            <w:rPr>
              <w:color w:val="auto"/>
              <w:highlight w:val="none"/>
            </w:rPr>
            <w:fldChar w:fldCharType="begin"/>
          </w:r>
          <w:r>
            <w:rPr>
              <w:color w:val="auto"/>
              <w:highlight w:val="none"/>
            </w:rPr>
            <w:instrText xml:space="preserve"> PAGEREF _Toc3242 \h </w:instrText>
          </w:r>
          <w:r>
            <w:rPr>
              <w:color w:val="auto"/>
              <w:highlight w:val="none"/>
            </w:rPr>
            <w:fldChar w:fldCharType="separate"/>
          </w:r>
          <w:r>
            <w:rPr>
              <w:color w:val="auto"/>
              <w:highlight w:val="none"/>
            </w:rPr>
            <w:t>22</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_Toc16220 </w:instrText>
          </w:r>
          <w:r>
            <w:rPr>
              <w:bCs/>
              <w:color w:val="auto"/>
              <w:highlight w:val="none"/>
              <w:lang w:val="zh-CN"/>
            </w:rPr>
            <w:fldChar w:fldCharType="separate"/>
          </w:r>
          <w:r>
            <w:rPr>
              <w:rFonts w:hint="eastAsia"/>
              <w:color w:val="auto"/>
              <w:highlight w:val="none"/>
            </w:rPr>
            <w:t>附件4</w:t>
          </w:r>
          <w:r>
            <w:rPr>
              <w:color w:val="auto"/>
              <w:highlight w:val="none"/>
            </w:rPr>
            <w:tab/>
          </w:r>
          <w:r>
            <w:rPr>
              <w:color w:val="auto"/>
              <w:highlight w:val="none"/>
            </w:rPr>
            <w:fldChar w:fldCharType="begin"/>
          </w:r>
          <w:r>
            <w:rPr>
              <w:color w:val="auto"/>
              <w:highlight w:val="none"/>
            </w:rPr>
            <w:instrText xml:space="preserve"> PAGEREF _Toc16220 \h </w:instrText>
          </w:r>
          <w:r>
            <w:rPr>
              <w:color w:val="auto"/>
              <w:highlight w:val="none"/>
            </w:rPr>
            <w:fldChar w:fldCharType="separate"/>
          </w:r>
          <w:r>
            <w:rPr>
              <w:color w:val="auto"/>
              <w:highlight w:val="none"/>
            </w:rPr>
            <w:t>23</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_Toc2247 </w:instrText>
          </w:r>
          <w:r>
            <w:rPr>
              <w:bCs/>
              <w:color w:val="auto"/>
              <w:highlight w:val="none"/>
              <w:lang w:val="zh-CN"/>
            </w:rPr>
            <w:fldChar w:fldCharType="separate"/>
          </w:r>
          <w:r>
            <w:rPr>
              <w:rFonts w:hint="eastAsia"/>
              <w:color w:val="auto"/>
              <w:highlight w:val="none"/>
            </w:rPr>
            <w:t>附件5</w:t>
          </w:r>
          <w:r>
            <w:rPr>
              <w:color w:val="auto"/>
              <w:highlight w:val="none"/>
            </w:rPr>
            <w:tab/>
          </w:r>
          <w:r>
            <w:rPr>
              <w:color w:val="auto"/>
              <w:highlight w:val="none"/>
            </w:rPr>
            <w:fldChar w:fldCharType="begin"/>
          </w:r>
          <w:r>
            <w:rPr>
              <w:color w:val="auto"/>
              <w:highlight w:val="none"/>
            </w:rPr>
            <w:instrText xml:space="preserve"> PAGEREF _Toc2247 \h </w:instrText>
          </w:r>
          <w:r>
            <w:rPr>
              <w:color w:val="auto"/>
              <w:highlight w:val="none"/>
            </w:rPr>
            <w:fldChar w:fldCharType="separate"/>
          </w:r>
          <w:r>
            <w:rPr>
              <w:color w:val="auto"/>
              <w:highlight w:val="none"/>
            </w:rPr>
            <w:t>24</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_Toc4783 </w:instrText>
          </w:r>
          <w:r>
            <w:rPr>
              <w:bCs/>
              <w:color w:val="auto"/>
              <w:highlight w:val="none"/>
              <w:lang w:val="zh-CN"/>
            </w:rPr>
            <w:fldChar w:fldCharType="separate"/>
          </w:r>
          <w:r>
            <w:rPr>
              <w:rFonts w:hint="eastAsia"/>
              <w:color w:val="auto"/>
              <w:highlight w:val="none"/>
            </w:rPr>
            <w:t>附件6</w:t>
          </w:r>
          <w:r>
            <w:rPr>
              <w:color w:val="auto"/>
              <w:highlight w:val="none"/>
            </w:rPr>
            <w:tab/>
          </w:r>
          <w:r>
            <w:rPr>
              <w:color w:val="auto"/>
              <w:highlight w:val="none"/>
            </w:rPr>
            <w:fldChar w:fldCharType="begin"/>
          </w:r>
          <w:r>
            <w:rPr>
              <w:color w:val="auto"/>
              <w:highlight w:val="none"/>
            </w:rPr>
            <w:instrText xml:space="preserve"> PAGEREF _Toc4783 \h </w:instrText>
          </w:r>
          <w:r>
            <w:rPr>
              <w:color w:val="auto"/>
              <w:highlight w:val="none"/>
            </w:rPr>
            <w:fldChar w:fldCharType="separate"/>
          </w:r>
          <w:r>
            <w:rPr>
              <w:color w:val="auto"/>
              <w:highlight w:val="none"/>
            </w:rPr>
            <w:t>25</w:t>
          </w:r>
          <w:r>
            <w:rPr>
              <w:color w:val="auto"/>
              <w:highlight w:val="none"/>
            </w:rPr>
            <w:fldChar w:fldCharType="end"/>
          </w:r>
          <w:r>
            <w:rPr>
              <w:bCs/>
              <w:color w:val="auto"/>
              <w:highlight w:val="none"/>
              <w:lang w:val="zh-CN"/>
            </w:rPr>
            <w:fldChar w:fldCharType="end"/>
          </w:r>
        </w:p>
        <w:p>
          <w:pPr>
            <w:pStyle w:val="9"/>
            <w:tabs>
              <w:tab w:val="right" w:leader="dot" w:pos="8900"/>
              <w:tab w:val="clear" w:pos="8890"/>
            </w:tabs>
            <w:rPr>
              <w:color w:val="auto"/>
              <w:highlight w:val="none"/>
            </w:rPr>
          </w:pPr>
          <w:r>
            <w:rPr>
              <w:bCs/>
              <w:color w:val="auto"/>
              <w:highlight w:val="none"/>
              <w:lang w:val="zh-CN"/>
            </w:rPr>
            <w:fldChar w:fldCharType="begin"/>
          </w:r>
          <w:r>
            <w:rPr>
              <w:bCs/>
              <w:color w:val="auto"/>
              <w:highlight w:val="none"/>
              <w:lang w:val="zh-CN"/>
            </w:rPr>
            <w:instrText xml:space="preserve"> HYPERLINK \l _Toc25202 </w:instrText>
          </w:r>
          <w:r>
            <w:rPr>
              <w:bCs/>
              <w:color w:val="auto"/>
              <w:highlight w:val="none"/>
              <w:lang w:val="zh-CN"/>
            </w:rPr>
            <w:fldChar w:fldCharType="separate"/>
          </w:r>
          <w:r>
            <w:rPr>
              <w:rFonts w:hint="eastAsia"/>
              <w:color w:val="auto"/>
              <w:highlight w:val="none"/>
            </w:rPr>
            <w:t>附件7</w:t>
          </w:r>
          <w:r>
            <w:rPr>
              <w:color w:val="auto"/>
              <w:highlight w:val="none"/>
            </w:rPr>
            <w:tab/>
          </w:r>
          <w:r>
            <w:rPr>
              <w:color w:val="auto"/>
              <w:highlight w:val="none"/>
            </w:rPr>
            <w:fldChar w:fldCharType="begin"/>
          </w:r>
          <w:r>
            <w:rPr>
              <w:color w:val="auto"/>
              <w:highlight w:val="none"/>
            </w:rPr>
            <w:instrText xml:space="preserve"> PAGEREF _Toc25202 \h </w:instrText>
          </w:r>
          <w:r>
            <w:rPr>
              <w:color w:val="auto"/>
              <w:highlight w:val="none"/>
            </w:rPr>
            <w:fldChar w:fldCharType="separate"/>
          </w:r>
          <w:r>
            <w:rPr>
              <w:color w:val="auto"/>
              <w:highlight w:val="none"/>
            </w:rPr>
            <w:t>26</w:t>
          </w:r>
          <w:r>
            <w:rPr>
              <w:color w:val="auto"/>
              <w:highlight w:val="none"/>
            </w:rPr>
            <w:fldChar w:fldCharType="end"/>
          </w:r>
          <w:r>
            <w:rPr>
              <w:bCs/>
              <w:color w:val="auto"/>
              <w:highlight w:val="none"/>
              <w:lang w:val="zh-CN"/>
            </w:rPr>
            <w:fldChar w:fldCharType="end"/>
          </w:r>
        </w:p>
        <w:p>
          <w:pPr>
            <w:spacing w:line="300" w:lineRule="atLeast"/>
            <w:rPr>
              <w:color w:val="auto"/>
              <w:highlight w:val="none"/>
            </w:rPr>
          </w:pPr>
          <w:r>
            <w:rPr>
              <w:bCs/>
              <w:color w:val="auto"/>
              <w:highlight w:val="none"/>
              <w:lang w:val="zh-CN"/>
            </w:rPr>
            <w:fldChar w:fldCharType="end"/>
          </w:r>
        </w:p>
      </w:sdtContent>
    </w:sdt>
    <w:p>
      <w:pPr>
        <w:widowControl/>
        <w:jc w:val="left"/>
        <w:rPr>
          <w:b/>
          <w:bCs/>
          <w:color w:val="auto"/>
          <w:sz w:val="32"/>
          <w:highlight w:val="none"/>
        </w:rPr>
      </w:pPr>
    </w:p>
    <w:p>
      <w:pPr>
        <w:tabs>
          <w:tab w:val="center" w:pos="4450"/>
        </w:tabs>
        <w:rPr>
          <w:color w:val="auto"/>
          <w:sz w:val="32"/>
          <w:highlight w:val="none"/>
        </w:rPr>
        <w:sectPr>
          <w:footerReference r:id="rId6" w:type="first"/>
          <w:headerReference r:id="rId3" w:type="default"/>
          <w:footerReference r:id="rId4" w:type="default"/>
          <w:footerReference r:id="rId5" w:type="even"/>
          <w:pgSz w:w="11906" w:h="16838"/>
          <w:pgMar w:top="1418" w:right="1418" w:bottom="1418" w:left="1418" w:header="851" w:footer="992" w:gutter="170"/>
          <w:cols w:space="720" w:num="1"/>
          <w:docGrid w:type="lines" w:linePitch="560" w:charSpace="0"/>
        </w:sectPr>
      </w:pPr>
    </w:p>
    <w:p>
      <w:pPr>
        <w:widowControl/>
        <w:jc w:val="left"/>
        <w:rPr>
          <w:b/>
          <w:bCs/>
          <w:color w:val="auto"/>
          <w:sz w:val="32"/>
          <w:highlight w:val="none"/>
        </w:rPr>
      </w:pPr>
    </w:p>
    <w:p>
      <w:pPr>
        <w:pStyle w:val="14"/>
        <w:rPr>
          <w:color w:val="auto"/>
          <w:highlight w:val="none"/>
        </w:rPr>
      </w:pPr>
      <w:bookmarkStart w:id="0" w:name="_Toc25280"/>
      <w:bookmarkStart w:id="1" w:name="_Toc13455"/>
      <w:bookmarkStart w:id="2" w:name="_Toc18126"/>
      <w:bookmarkStart w:id="3" w:name="_Toc2426"/>
      <w:bookmarkStart w:id="4" w:name="_Toc2090"/>
      <w:bookmarkStart w:id="5" w:name="_Toc31152"/>
      <w:bookmarkStart w:id="6" w:name="_Toc135743330"/>
      <w:bookmarkStart w:id="7" w:name="_Toc10680"/>
      <w:bookmarkStart w:id="8" w:name="_Toc25971"/>
      <w:bookmarkStart w:id="9" w:name="_Toc24462"/>
      <w:bookmarkStart w:id="10" w:name="_Toc2609"/>
      <w:r>
        <w:rPr>
          <w:rFonts w:hint="eastAsia"/>
          <w:color w:val="auto"/>
          <w:highlight w:val="none"/>
        </w:rPr>
        <w:t>第一章　　投 标 须 知</w:t>
      </w:r>
      <w:bookmarkEnd w:id="0"/>
      <w:bookmarkEnd w:id="1"/>
      <w:bookmarkEnd w:id="2"/>
      <w:bookmarkEnd w:id="3"/>
      <w:bookmarkEnd w:id="4"/>
      <w:bookmarkEnd w:id="5"/>
      <w:bookmarkEnd w:id="6"/>
      <w:bookmarkEnd w:id="7"/>
      <w:bookmarkEnd w:id="8"/>
      <w:bookmarkEnd w:id="9"/>
      <w:bookmarkEnd w:id="10"/>
    </w:p>
    <w:p>
      <w:pPr>
        <w:pStyle w:val="2"/>
        <w:jc w:val="center"/>
        <w:rPr>
          <w:color w:val="auto"/>
          <w:highlight w:val="none"/>
        </w:rPr>
      </w:pPr>
      <w:bookmarkStart w:id="11" w:name="_Toc3114"/>
      <w:bookmarkStart w:id="12" w:name="_Toc1904"/>
      <w:bookmarkStart w:id="13" w:name="_Toc16845"/>
      <w:bookmarkStart w:id="14" w:name="_Toc23766"/>
      <w:bookmarkStart w:id="15" w:name="_Toc3750"/>
      <w:bookmarkStart w:id="16" w:name="_Toc10718"/>
      <w:bookmarkStart w:id="17" w:name="_Toc19046"/>
      <w:bookmarkStart w:id="18" w:name="_Toc10734"/>
      <w:bookmarkStart w:id="19" w:name="_Toc135743331"/>
      <w:bookmarkStart w:id="20" w:name="_Toc29923"/>
      <w:bookmarkStart w:id="21" w:name="_Toc9265"/>
      <w:r>
        <w:rPr>
          <w:rFonts w:hint="eastAsia"/>
          <w:color w:val="auto"/>
          <w:highlight w:val="none"/>
        </w:rPr>
        <w:t xml:space="preserve">一、总 </w:t>
      </w:r>
      <w:r>
        <w:rPr>
          <w:color w:val="auto"/>
          <w:highlight w:val="none"/>
        </w:rPr>
        <w:t xml:space="preserve"> </w:t>
      </w:r>
      <w:r>
        <w:rPr>
          <w:rFonts w:hint="eastAsia"/>
          <w:color w:val="auto"/>
          <w:highlight w:val="none"/>
        </w:rPr>
        <w:t>则</w:t>
      </w:r>
      <w:bookmarkEnd w:id="11"/>
      <w:bookmarkEnd w:id="12"/>
      <w:bookmarkEnd w:id="13"/>
      <w:bookmarkEnd w:id="14"/>
      <w:bookmarkEnd w:id="15"/>
      <w:bookmarkEnd w:id="16"/>
      <w:bookmarkEnd w:id="17"/>
      <w:bookmarkEnd w:id="18"/>
      <w:bookmarkEnd w:id="19"/>
      <w:bookmarkEnd w:id="20"/>
      <w:bookmarkEnd w:id="21"/>
    </w:p>
    <w:p>
      <w:pPr>
        <w:pStyle w:val="10"/>
        <w:rPr>
          <w:color w:val="auto"/>
          <w:highlight w:val="none"/>
        </w:rPr>
      </w:pPr>
      <w:bookmarkStart w:id="22" w:name="_Toc6298"/>
      <w:bookmarkStart w:id="23" w:name="_Toc23276"/>
      <w:bookmarkStart w:id="24" w:name="_Toc10070"/>
      <w:bookmarkStart w:id="25" w:name="_Toc14468"/>
      <w:bookmarkStart w:id="26" w:name="_Toc7137"/>
      <w:bookmarkStart w:id="27" w:name="_Toc21588"/>
      <w:bookmarkStart w:id="28" w:name="_Toc31174"/>
      <w:bookmarkStart w:id="29" w:name="_Toc31153"/>
      <w:bookmarkStart w:id="30" w:name="_Toc17378"/>
      <w:bookmarkStart w:id="31" w:name="_Toc8199"/>
      <w:bookmarkStart w:id="32" w:name="_Toc135743332"/>
      <w:r>
        <w:rPr>
          <w:rFonts w:hint="eastAsia"/>
          <w:color w:val="auto"/>
          <w:highlight w:val="none"/>
        </w:rPr>
        <w:t>（一）工程综合说明</w:t>
      </w:r>
      <w:bookmarkEnd w:id="22"/>
      <w:bookmarkEnd w:id="23"/>
      <w:bookmarkEnd w:id="24"/>
      <w:bookmarkEnd w:id="25"/>
      <w:bookmarkEnd w:id="26"/>
      <w:bookmarkEnd w:id="27"/>
      <w:bookmarkEnd w:id="28"/>
      <w:bookmarkEnd w:id="29"/>
      <w:bookmarkEnd w:id="30"/>
      <w:bookmarkEnd w:id="31"/>
      <w:bookmarkEnd w:id="32"/>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按照《中华人民共和国招标投标法》等有关法律、法规和规章，采取招标方式选择本项目供应单位。现将有关事项说明如下：</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1、项目名称： </w:t>
      </w:r>
      <w:r>
        <w:rPr>
          <w:rFonts w:asciiTheme="minorEastAsia" w:hAnsiTheme="minorEastAsia" w:eastAsiaTheme="minorEastAsia"/>
          <w:color w:val="auto"/>
          <w:highlight w:val="none"/>
        </w:rPr>
        <w:t>深圳大学土木与交通工程学院室内外LED显示屏采购及安装工程</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2、供货地点：深圳大学土木与交通工程学院（</w:t>
      </w:r>
      <w:r>
        <w:rPr>
          <w:rFonts w:asciiTheme="minorEastAsia" w:hAnsiTheme="minorEastAsia" w:eastAsiaTheme="minorEastAsia"/>
          <w:color w:val="auto"/>
          <w:highlight w:val="none"/>
        </w:rPr>
        <w:t>最终</w:t>
      </w:r>
      <w:r>
        <w:rPr>
          <w:rFonts w:hint="eastAsia" w:asciiTheme="minorEastAsia" w:hAnsiTheme="minorEastAsia" w:eastAsiaTheme="minorEastAsia"/>
          <w:color w:val="auto"/>
          <w:highlight w:val="none"/>
        </w:rPr>
        <w:t>合同为准</w:t>
      </w:r>
      <w:r>
        <w:rPr>
          <w:rFonts w:asciiTheme="minorEastAsia" w:hAnsiTheme="minorEastAsia" w:eastAsiaTheme="minorEastAsia"/>
          <w:color w:val="auto"/>
          <w:highlight w:val="none"/>
        </w:rPr>
        <w:t>约定</w:t>
      </w:r>
      <w:r>
        <w:rPr>
          <w:rFonts w:hint="eastAsia" w:asciiTheme="minorEastAsia" w:hAnsiTheme="minorEastAsia" w:eastAsiaTheme="minorEastAsia"/>
          <w:color w:val="auto"/>
          <w:highlight w:val="none"/>
        </w:rPr>
        <w:t>）</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3、资金来源：</w:t>
      </w:r>
      <w:r>
        <w:rPr>
          <w:rFonts w:hint="eastAsia" w:asciiTheme="minorEastAsia" w:hAnsiTheme="minorEastAsia" w:eastAsiaTheme="minorEastAsia"/>
          <w:color w:val="auto"/>
          <w:highlight w:val="none"/>
          <w:u w:val="single"/>
        </w:rPr>
        <w:t>自筹</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4、本项目招标内容和有关要求如下：</w:t>
      </w:r>
    </w:p>
    <w:p>
      <w:pPr>
        <w:tabs>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（1）规格及数量</w:t>
      </w:r>
    </w:p>
    <w:p>
      <w:pPr>
        <w:tabs>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室外LED显示屏约长 </w:t>
      </w:r>
      <w:r>
        <w:rPr>
          <w:rFonts w:asciiTheme="minorEastAsia" w:hAnsiTheme="minorEastAsia" w:eastAsiaTheme="minorEastAsia"/>
          <w:color w:val="auto"/>
          <w:highlight w:val="none"/>
        </w:rPr>
        <w:t>4.48</w:t>
      </w:r>
      <w:r>
        <w:rPr>
          <w:rFonts w:hint="eastAsia" w:asciiTheme="minorEastAsia" w:hAnsiTheme="minorEastAsia" w:eastAsiaTheme="minorEastAsia"/>
          <w:color w:val="auto"/>
          <w:highlight w:val="none"/>
        </w:rPr>
        <w:t xml:space="preserve"> 米×高 </w:t>
      </w:r>
      <w:r>
        <w:rPr>
          <w:rFonts w:asciiTheme="minorEastAsia" w:hAnsiTheme="minorEastAsia" w:eastAsiaTheme="minorEastAsia"/>
          <w:color w:val="auto"/>
          <w:highlight w:val="none"/>
        </w:rPr>
        <w:t>2.56</w:t>
      </w:r>
      <w:r>
        <w:rPr>
          <w:rFonts w:hint="eastAsia" w:asciiTheme="minorEastAsia" w:hAnsiTheme="minorEastAsia" w:eastAsiaTheme="minorEastAsia"/>
          <w:color w:val="auto"/>
          <w:highlight w:val="none"/>
        </w:rPr>
        <w:t>米一块的制作及安装，包括基础拆除或修复、屏体钢结构、计算机、布线、显示屏、软件及控制系统等使用前及保修期内一切内容。</w:t>
      </w:r>
    </w:p>
    <w:p>
      <w:pPr>
        <w:tabs>
          <w:tab w:val="left" w:pos="1260"/>
        </w:tabs>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室内LED显示屏（含蓝色背光LED灯带）约长 4.8 米×高 2.688 米一块的制作及安装，</w:t>
      </w:r>
      <w:r>
        <w:rPr>
          <w:rFonts w:hint="eastAsia" w:asciiTheme="minorEastAsia" w:hAnsiTheme="minorEastAsia" w:eastAsiaTheme="minorEastAsia"/>
          <w:color w:val="auto"/>
          <w:highlight w:val="none"/>
        </w:rPr>
        <w:t>包括基础拆除或修复、屏体</w:t>
      </w:r>
      <w:r>
        <w:rPr>
          <w:rFonts w:asciiTheme="minorEastAsia" w:hAnsiTheme="minorEastAsia" w:eastAsiaTheme="minorEastAsia"/>
          <w:color w:val="auto"/>
          <w:highlight w:val="none"/>
        </w:rPr>
        <w:t>钢结构、计算机、布线、显示屏、软件及控制系统等使用前及保修期内一切内容。</w:t>
      </w:r>
    </w:p>
    <w:p>
      <w:pPr>
        <w:tabs>
          <w:tab w:val="left" w:pos="1260"/>
        </w:tabs>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LED屏远程控制及大堂灯光控制系统1套</w:t>
      </w:r>
    </w:p>
    <w:p>
      <w:pPr>
        <w:tabs>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（2）设备技术参数（详见第二章）</w:t>
      </w:r>
    </w:p>
    <w:p>
      <w:pPr>
        <w:tabs>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a、质量标准：产品为全新、未使用过的原装合格正品。安装质量符合各项现行技术规范和强制性标准。</w:t>
      </w:r>
    </w:p>
    <w:p>
      <w:pPr>
        <w:tabs>
          <w:tab w:val="left" w:pos="1260"/>
        </w:tabs>
        <w:ind w:firstLine="480" w:firstLineChars="200"/>
        <w:rPr>
          <w:rFonts w:asciiTheme="minorEastAsia" w:hAnsiTheme="minorEastAsia" w:eastAsiaTheme="minorEastAsia"/>
          <w:b/>
          <w:bCs/>
          <w:color w:val="auto"/>
          <w:highlight w:val="none"/>
        </w:rPr>
      </w:pPr>
      <w:r>
        <w:rPr>
          <w:rFonts w:hint="eastAsia" w:asciiTheme="minorEastAsia" w:hAnsiTheme="minorEastAsia" w:eastAsiaTheme="minorEastAsia"/>
          <w:color w:val="auto"/>
          <w:highlight w:val="none"/>
        </w:rPr>
        <w:t xml:space="preserve">b、供货及安装时间： </w:t>
      </w:r>
      <w:r>
        <w:rPr>
          <w:rFonts w:asciiTheme="minorEastAsia" w:hAnsiTheme="minorEastAsia" w:eastAsiaTheme="minorEastAsia"/>
          <w:color w:val="auto"/>
          <w:highlight w:val="none"/>
        </w:rPr>
        <w:t>2023</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6</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30</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日前全部到位且安装调试完毕</w:t>
      </w:r>
      <w:r>
        <w:rPr>
          <w:rFonts w:hint="eastAsia" w:asciiTheme="minorEastAsia" w:hAnsiTheme="minorEastAsia" w:eastAsiaTheme="minorEastAsia"/>
          <w:b/>
          <w:color w:val="auto"/>
          <w:highlight w:val="none"/>
        </w:rPr>
        <w:t>（</w:t>
      </w:r>
      <w:r>
        <w:rPr>
          <w:rFonts w:hint="eastAsia" w:asciiTheme="minorEastAsia" w:hAnsiTheme="minorEastAsia" w:eastAsiaTheme="minorEastAsia"/>
          <w:b/>
          <w:bCs/>
          <w:color w:val="auto"/>
          <w:highlight w:val="none"/>
        </w:rPr>
        <w:t>中标公示结束后第二天进场</w:t>
      </w:r>
      <w:r>
        <w:rPr>
          <w:rFonts w:asciiTheme="minorEastAsia" w:hAnsiTheme="minorEastAsia" w:eastAsiaTheme="minorEastAsia"/>
          <w:b/>
          <w:bCs/>
          <w:color w:val="auto"/>
          <w:highlight w:val="none"/>
        </w:rPr>
        <w:t>实施</w:t>
      </w:r>
      <w:r>
        <w:rPr>
          <w:rFonts w:hint="eastAsia" w:asciiTheme="minorEastAsia" w:hAnsiTheme="minorEastAsia" w:eastAsiaTheme="minorEastAsia"/>
          <w:b/>
          <w:bCs/>
          <w:color w:val="auto"/>
          <w:highlight w:val="none"/>
        </w:rPr>
        <w:t>）。</w:t>
      </w:r>
    </w:p>
    <w:p>
      <w:pPr>
        <w:tabs>
          <w:tab w:val="left" w:pos="1260"/>
        </w:tabs>
        <w:ind w:firstLine="48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、投标有效期：投标文件自投标截止时间起60天内有效。</w:t>
      </w:r>
    </w:p>
    <w:p>
      <w:pPr>
        <w:tabs>
          <w:tab w:val="left" w:pos="1260"/>
        </w:tabs>
        <w:ind w:firstLine="48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6</w:t>
      </w:r>
      <w:r>
        <w:rPr>
          <w:rFonts w:hint="eastAsia" w:asciiTheme="minorEastAsia" w:hAnsiTheme="minorEastAsia" w:eastAsiaTheme="minorEastAsia"/>
          <w:color w:val="auto"/>
          <w:highlight w:val="none"/>
        </w:rPr>
        <w:t>、资格审查：采取资格后审办法。</w:t>
      </w:r>
    </w:p>
    <w:p>
      <w:pPr>
        <w:tabs>
          <w:tab w:val="left" w:pos="1260"/>
        </w:tabs>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7</w:t>
      </w:r>
      <w:r>
        <w:rPr>
          <w:rFonts w:hint="eastAsia" w:asciiTheme="minorEastAsia" w:hAnsiTheme="minorEastAsia" w:eastAsiaTheme="minorEastAsia"/>
          <w:color w:val="auto"/>
          <w:highlight w:val="none"/>
        </w:rPr>
        <w:t>、评标定标办法：经评审的最低投标价法。</w:t>
      </w:r>
    </w:p>
    <w:p>
      <w:pPr>
        <w:tabs>
          <w:tab w:val="left" w:pos="1260"/>
        </w:tabs>
        <w:ind w:firstLine="48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8</w:t>
      </w:r>
      <w:r>
        <w:rPr>
          <w:rFonts w:hint="eastAsia" w:asciiTheme="minorEastAsia" w:hAnsiTheme="minorEastAsia" w:eastAsiaTheme="minorEastAsia"/>
          <w:color w:val="auto"/>
          <w:highlight w:val="none"/>
        </w:rPr>
        <w:t>、投标文件份数：</w:t>
      </w:r>
      <w:r>
        <w:rPr>
          <w:rFonts w:hint="eastAsia" w:asciiTheme="minorEastAsia" w:hAnsiTheme="minorEastAsia" w:eastAsiaTheme="minorEastAsia"/>
          <w:color w:val="auto"/>
          <w:highlight w:val="none"/>
          <w:u w:val="single"/>
        </w:rPr>
        <w:t>一式</w:t>
      </w:r>
      <w:r>
        <w:rPr>
          <w:rFonts w:asciiTheme="minorEastAsia" w:hAnsiTheme="minorEastAsia" w:eastAsiaTheme="minorEastAsia"/>
          <w:color w:val="auto"/>
          <w:highlight w:val="none"/>
          <w:u w:val="single"/>
        </w:rPr>
        <w:t>三</w:t>
      </w:r>
      <w:r>
        <w:rPr>
          <w:rFonts w:hint="eastAsia" w:asciiTheme="minorEastAsia" w:hAnsiTheme="minorEastAsia" w:eastAsiaTheme="minorEastAsia"/>
          <w:color w:val="auto"/>
          <w:highlight w:val="none"/>
          <w:u w:val="single"/>
        </w:rPr>
        <w:t>份（其中正本一份，副本</w:t>
      </w:r>
      <w:r>
        <w:rPr>
          <w:rFonts w:asciiTheme="minorEastAsia" w:hAnsiTheme="minorEastAsia" w:eastAsiaTheme="minorEastAsia"/>
          <w:color w:val="auto"/>
          <w:highlight w:val="none"/>
          <w:u w:val="single"/>
        </w:rPr>
        <w:t>两</w:t>
      </w:r>
      <w:r>
        <w:rPr>
          <w:rFonts w:hint="eastAsia" w:asciiTheme="minorEastAsia" w:hAnsiTheme="minorEastAsia" w:eastAsiaTheme="minorEastAsia"/>
          <w:color w:val="auto"/>
          <w:highlight w:val="none"/>
          <w:u w:val="single"/>
        </w:rPr>
        <w:t>份）。</w:t>
      </w:r>
    </w:p>
    <w:p>
      <w:pPr>
        <w:tabs>
          <w:tab w:val="left" w:pos="1260"/>
        </w:tabs>
        <w:ind w:firstLine="480" w:firstLineChars="200"/>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9</w:t>
      </w:r>
      <w:r>
        <w:rPr>
          <w:rFonts w:hint="eastAsia" w:asciiTheme="minorEastAsia" w:hAnsiTheme="minorEastAsia" w:eastAsiaTheme="minorEastAsia"/>
          <w:color w:val="auto"/>
          <w:highlight w:val="none"/>
        </w:rPr>
        <w:t xml:space="preserve">、澄清、修改、补充资料提交与获取： </w:t>
      </w:r>
    </w:p>
    <w:p>
      <w:pPr>
        <w:tabs>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提交：</w:t>
      </w:r>
      <w:r>
        <w:rPr>
          <w:rFonts w:asciiTheme="minorEastAsia" w:hAnsiTheme="minorEastAsia" w:eastAsiaTheme="minorEastAsia"/>
          <w:color w:val="auto"/>
          <w:highlight w:val="none"/>
        </w:rPr>
        <w:t>2023</w:t>
      </w:r>
      <w:r>
        <w:rPr>
          <w:rFonts w:hint="eastAsia" w:asciiTheme="minorEastAsia" w:hAnsiTheme="minorEastAsia" w:eastAsiaTheme="minorEastAsia"/>
          <w:color w:val="auto"/>
          <w:highlight w:val="none"/>
        </w:rPr>
        <w:t xml:space="preserve"> 年</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5</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30</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14</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时前</w:t>
      </w:r>
      <w:r>
        <w:rPr>
          <w:rFonts w:asciiTheme="minorEastAsia" w:hAnsiTheme="minorEastAsia" w:eastAsiaTheme="minorEastAsia"/>
          <w:color w:val="auto"/>
          <w:highlight w:val="none"/>
        </w:rPr>
        <w:t>现场</w:t>
      </w:r>
      <w:r>
        <w:rPr>
          <w:rFonts w:hint="eastAsia" w:asciiTheme="minorEastAsia" w:hAnsiTheme="minorEastAsia" w:eastAsiaTheme="minorEastAsia"/>
          <w:color w:val="auto"/>
          <w:highlight w:val="none"/>
        </w:rPr>
        <w:t>提交。</w:t>
      </w:r>
    </w:p>
    <w:p>
      <w:pPr>
        <w:tabs>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获取：</w:t>
      </w:r>
      <w:r>
        <w:rPr>
          <w:rFonts w:asciiTheme="minorEastAsia" w:hAnsiTheme="minorEastAsia" w:eastAsiaTheme="minorEastAsia"/>
          <w:color w:val="auto"/>
          <w:highlight w:val="none"/>
        </w:rPr>
        <w:t xml:space="preserve">2023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5</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30</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14</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时</w:t>
      </w:r>
      <w:r>
        <w:rPr>
          <w:rFonts w:asciiTheme="minorEastAsia" w:hAnsiTheme="minorEastAsia" w:eastAsiaTheme="minorEastAsia"/>
          <w:color w:val="auto"/>
          <w:highlight w:val="none"/>
        </w:rPr>
        <w:t>前</w:t>
      </w:r>
      <w:r>
        <w:rPr>
          <w:rFonts w:hint="eastAsia" w:asciiTheme="minorEastAsia" w:hAnsiTheme="minorEastAsia" w:eastAsiaTheme="minorEastAsia"/>
          <w:color w:val="auto"/>
          <w:highlight w:val="none"/>
        </w:rPr>
        <w:t>网上获取。</w:t>
      </w:r>
    </w:p>
    <w:p>
      <w:pPr>
        <w:tabs>
          <w:tab w:val="left" w:pos="1260"/>
        </w:tabs>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10</w:t>
      </w:r>
      <w:r>
        <w:rPr>
          <w:rFonts w:hint="eastAsia" w:asciiTheme="minorEastAsia" w:hAnsiTheme="minorEastAsia" w:eastAsiaTheme="minorEastAsia"/>
          <w:color w:val="auto"/>
          <w:highlight w:val="none"/>
        </w:rPr>
        <w:t>、投标截止时间：</w:t>
      </w:r>
      <w:r>
        <w:rPr>
          <w:rFonts w:asciiTheme="minorEastAsia" w:hAnsiTheme="minorEastAsia" w:eastAsiaTheme="minorEastAsia"/>
          <w:color w:val="auto"/>
          <w:highlight w:val="none"/>
        </w:rPr>
        <w:t>2023</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5</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30</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14</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时</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00</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分。</w:t>
      </w:r>
    </w:p>
    <w:p>
      <w:pPr>
        <w:tabs>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地点： </w:t>
      </w:r>
      <w:r>
        <w:rPr>
          <w:rFonts w:asciiTheme="minorEastAsia" w:hAnsiTheme="minorEastAsia" w:eastAsiaTheme="minorEastAsia"/>
          <w:color w:val="auto"/>
          <w:highlight w:val="none"/>
        </w:rPr>
        <w:t>广东省深圳市南山区</w:t>
      </w:r>
      <w:r>
        <w:rPr>
          <w:rFonts w:hint="eastAsia" w:asciiTheme="minorEastAsia" w:hAnsiTheme="minorEastAsia" w:eastAsiaTheme="minorEastAsia"/>
          <w:color w:val="auto"/>
          <w:highlight w:val="none"/>
          <w:lang w:val="en-US" w:eastAsia="zh-CN"/>
        </w:rPr>
        <w:t>深圳大学沧海校区致工楼A322</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 xml:space="preserve">  </w:t>
      </w:r>
    </w:p>
    <w:p>
      <w:pPr>
        <w:tabs>
          <w:tab w:val="left" w:pos="1260"/>
        </w:tabs>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11</w:t>
      </w:r>
      <w:r>
        <w:rPr>
          <w:rFonts w:hint="eastAsia" w:asciiTheme="minorEastAsia" w:hAnsiTheme="minorEastAsia" w:eastAsiaTheme="minorEastAsia"/>
          <w:color w:val="auto"/>
          <w:highlight w:val="none"/>
        </w:rPr>
        <w:t xml:space="preserve">、开标时间： </w:t>
      </w:r>
      <w:r>
        <w:rPr>
          <w:rFonts w:asciiTheme="minorEastAsia" w:hAnsiTheme="minorEastAsia" w:eastAsiaTheme="minorEastAsia"/>
          <w:color w:val="auto"/>
          <w:highlight w:val="none"/>
        </w:rPr>
        <w:t>2023</w:t>
      </w:r>
      <w:r>
        <w:rPr>
          <w:rFonts w:hint="eastAsia" w:asciiTheme="minorEastAsia" w:hAnsiTheme="minorEastAsia" w:eastAsiaTheme="minorEastAsia"/>
          <w:color w:val="auto"/>
          <w:highlight w:val="none"/>
        </w:rPr>
        <w:t xml:space="preserve"> 年</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5</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30</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14</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时</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15</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分。</w:t>
      </w:r>
    </w:p>
    <w:p>
      <w:pPr>
        <w:tabs>
          <w:tab w:val="left" w:pos="720"/>
        </w:tabs>
        <w:ind w:firstLine="480" w:firstLineChars="200"/>
        <w:rPr>
          <w:color w:val="auto"/>
          <w:sz w:val="28"/>
          <w:highlight w:val="none"/>
        </w:rPr>
      </w:pPr>
      <w:r>
        <w:rPr>
          <w:rFonts w:hint="eastAsia" w:asciiTheme="minorEastAsia" w:hAnsiTheme="minorEastAsia" w:eastAsiaTheme="minorEastAsia"/>
          <w:color w:val="auto"/>
          <w:highlight w:val="none"/>
        </w:rPr>
        <w:t>地点：</w:t>
      </w:r>
      <w:r>
        <w:rPr>
          <w:rFonts w:asciiTheme="minorEastAsia" w:hAnsiTheme="minorEastAsia" w:eastAsiaTheme="minorEastAsia"/>
          <w:color w:val="auto"/>
          <w:highlight w:val="none"/>
        </w:rPr>
        <w:t>广东省深圳市南山区</w:t>
      </w:r>
      <w:r>
        <w:rPr>
          <w:rFonts w:hint="eastAsia" w:asciiTheme="minorEastAsia" w:hAnsiTheme="minorEastAsia" w:eastAsiaTheme="minorEastAsia"/>
          <w:color w:val="auto"/>
          <w:highlight w:val="none"/>
          <w:lang w:val="en-US" w:eastAsia="zh-CN"/>
        </w:rPr>
        <w:t>深圳大学沧海校区致工楼A322</w:t>
      </w:r>
      <w:r>
        <w:rPr>
          <w:rFonts w:hint="eastAsia" w:asciiTheme="minorEastAsia" w:hAnsiTheme="minorEastAsia" w:eastAsiaTheme="minorEastAsia"/>
          <w:color w:val="auto"/>
          <w:highlight w:val="none"/>
        </w:rPr>
        <w:t xml:space="preserve"> </w:t>
      </w:r>
      <w:r>
        <w:rPr>
          <w:rFonts w:hint="eastAsia"/>
          <w:color w:val="auto"/>
          <w:sz w:val="28"/>
          <w:highlight w:val="none"/>
        </w:rPr>
        <w:t xml:space="preserve"> </w:t>
      </w:r>
    </w:p>
    <w:p>
      <w:pPr>
        <w:pStyle w:val="10"/>
        <w:rPr>
          <w:color w:val="auto"/>
          <w:highlight w:val="none"/>
        </w:rPr>
      </w:pPr>
      <w:bookmarkStart w:id="33" w:name="_Toc3305"/>
      <w:bookmarkStart w:id="34" w:name="_Toc17269"/>
      <w:bookmarkStart w:id="35" w:name="_Toc13153"/>
      <w:bookmarkStart w:id="36" w:name="_Toc135743333"/>
      <w:bookmarkStart w:id="37" w:name="_Toc26647"/>
      <w:bookmarkStart w:id="38" w:name="_Toc16651"/>
      <w:bookmarkStart w:id="39" w:name="_Toc21935"/>
      <w:bookmarkStart w:id="40" w:name="_Toc17267"/>
      <w:bookmarkStart w:id="41" w:name="_Toc26501"/>
      <w:bookmarkStart w:id="42" w:name="_Toc2053"/>
      <w:bookmarkStart w:id="43" w:name="_Toc19126"/>
      <w:r>
        <w:rPr>
          <w:rFonts w:hint="eastAsia"/>
          <w:color w:val="auto"/>
          <w:highlight w:val="none"/>
        </w:rPr>
        <w:t>（二）投标单位资格要求</w:t>
      </w:r>
      <w:bookmarkEnd w:id="33"/>
      <w:bookmarkEnd w:id="34"/>
      <w:bookmarkEnd w:id="35"/>
      <w:bookmarkEnd w:id="36"/>
      <w:bookmarkEnd w:id="37"/>
      <w:bookmarkEnd w:id="38"/>
      <w:bookmarkEnd w:id="39"/>
      <w:bookmarkEnd w:id="40"/>
      <w:bookmarkEnd w:id="41"/>
      <w:bookmarkEnd w:id="42"/>
      <w:bookmarkEnd w:id="43"/>
    </w:p>
    <w:p>
      <w:pPr>
        <w:tabs>
          <w:tab w:val="left" w:pos="72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1、投标人必须是具备独立法人资格LED显示屏</w:t>
      </w:r>
      <w:r>
        <w:rPr>
          <w:rFonts w:asciiTheme="minorEastAsia" w:hAnsiTheme="minorEastAsia" w:eastAsiaTheme="minorEastAsia"/>
          <w:color w:val="auto"/>
          <w:highlight w:val="none"/>
        </w:rPr>
        <w:t>生产厂商</w:t>
      </w:r>
      <w:r>
        <w:rPr>
          <w:rFonts w:hint="eastAsia" w:asciiTheme="minorEastAsia" w:hAnsiTheme="minorEastAsia" w:eastAsiaTheme="minorEastAsia"/>
          <w:color w:val="auto"/>
          <w:highlight w:val="none"/>
        </w:rPr>
        <w:t>或有经营许可的授权代理商；</w:t>
      </w:r>
    </w:p>
    <w:p>
      <w:pPr>
        <w:tabs>
          <w:tab w:val="left" w:pos="720"/>
        </w:tabs>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、具有招标产品的供应能力，生产产品符合有关检验标准；</w:t>
      </w:r>
    </w:p>
    <w:p>
      <w:pPr>
        <w:tabs>
          <w:tab w:val="left" w:pos="72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3、有下列行为之一的投标人，招标人不接受其参加投标。</w:t>
      </w:r>
    </w:p>
    <w:p>
      <w:pPr>
        <w:tabs>
          <w:tab w:val="left" w:pos="1080"/>
          <w:tab w:val="left" w:pos="168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（1）有违反法律、法规行为，依法被取消投标资格且期限未满的；</w:t>
      </w:r>
    </w:p>
    <w:p>
      <w:pPr>
        <w:tabs>
          <w:tab w:val="left" w:pos="720"/>
        </w:tabs>
        <w:ind w:firstLine="480" w:firstLineChars="200"/>
        <w:rPr>
          <w:color w:val="auto"/>
          <w:sz w:val="28"/>
          <w:highlight w:val="none"/>
        </w:rPr>
      </w:pPr>
      <w:r>
        <w:rPr>
          <w:rFonts w:hint="eastAsia" w:asciiTheme="minorEastAsia" w:hAnsiTheme="minorEastAsia" w:eastAsiaTheme="minorEastAsia"/>
          <w:color w:val="auto"/>
          <w:highlight w:val="none"/>
        </w:rPr>
        <w:t>（2）因招投标活动中有违法违规和不良行为，被有关行政监督部门公示且公示期限未满的。</w:t>
      </w:r>
    </w:p>
    <w:p>
      <w:pPr>
        <w:pStyle w:val="10"/>
        <w:rPr>
          <w:color w:val="auto"/>
          <w:highlight w:val="none"/>
        </w:rPr>
      </w:pPr>
      <w:bookmarkStart w:id="44" w:name="_Toc18265"/>
      <w:bookmarkStart w:id="45" w:name="_Toc10525"/>
      <w:bookmarkStart w:id="46" w:name="_Toc135743334"/>
      <w:bookmarkStart w:id="47" w:name="_Toc31758"/>
      <w:bookmarkStart w:id="48" w:name="_Toc16283"/>
      <w:bookmarkStart w:id="49" w:name="_Toc20745"/>
      <w:bookmarkStart w:id="50" w:name="_Toc303"/>
      <w:bookmarkStart w:id="51" w:name="_Toc8021"/>
      <w:bookmarkStart w:id="52" w:name="_Toc23073"/>
      <w:bookmarkStart w:id="53" w:name="_Toc22347"/>
      <w:bookmarkStart w:id="54" w:name="_Toc10521"/>
      <w:r>
        <w:rPr>
          <w:rFonts w:hint="eastAsia"/>
          <w:color w:val="auto"/>
          <w:highlight w:val="none"/>
        </w:rPr>
        <w:t>（三）现场踏勘</w:t>
      </w:r>
      <w:bookmarkEnd w:id="44"/>
      <w:bookmarkEnd w:id="45"/>
      <w:bookmarkEnd w:id="46"/>
      <w:bookmarkEnd w:id="47"/>
      <w:bookmarkEnd w:id="48"/>
      <w:bookmarkEnd w:id="49"/>
      <w:bookmarkEnd w:id="50"/>
      <w:bookmarkEnd w:id="51"/>
      <w:bookmarkEnd w:id="52"/>
      <w:bookmarkEnd w:id="53"/>
      <w:bookmarkEnd w:id="54"/>
    </w:p>
    <w:p>
      <w:pPr>
        <w:tabs>
          <w:tab w:val="left" w:pos="720"/>
        </w:tabs>
        <w:ind w:firstLine="480" w:firstLineChars="200"/>
        <w:rPr>
          <w:b/>
          <w:color w:val="auto"/>
          <w:highlight w:val="none"/>
        </w:rPr>
      </w:pPr>
      <w:r>
        <w:rPr>
          <w:rFonts w:hint="eastAsia"/>
          <w:color w:val="auto"/>
          <w:highlight w:val="none"/>
        </w:rPr>
        <w:t>投标人应</w:t>
      </w:r>
      <w:r>
        <w:rPr>
          <w:color w:val="auto"/>
          <w:highlight w:val="none"/>
        </w:rPr>
        <w:t>自行</w:t>
      </w:r>
      <w:r>
        <w:rPr>
          <w:rFonts w:hint="eastAsia"/>
          <w:color w:val="auto"/>
          <w:highlight w:val="none"/>
        </w:rPr>
        <w:t>对工程现场和周围环境进行踏勘，但不得因此使招标人承担有关责任和蒙受损失，踏勘现场所发生的费用由投标人承担。</w:t>
      </w:r>
    </w:p>
    <w:p>
      <w:pPr>
        <w:pStyle w:val="10"/>
        <w:rPr>
          <w:color w:val="auto"/>
          <w:highlight w:val="none"/>
        </w:rPr>
      </w:pPr>
      <w:bookmarkStart w:id="55" w:name="_Toc6191"/>
      <w:bookmarkStart w:id="56" w:name="_Toc135743335"/>
      <w:bookmarkStart w:id="57" w:name="_Toc28781"/>
      <w:bookmarkStart w:id="58" w:name="_Toc2903"/>
      <w:bookmarkStart w:id="59" w:name="_Toc30106"/>
      <w:bookmarkStart w:id="60" w:name="_Toc2278"/>
      <w:bookmarkStart w:id="61" w:name="_Toc29357"/>
      <w:bookmarkStart w:id="62" w:name="_Toc21210"/>
      <w:bookmarkStart w:id="63" w:name="_Toc19123"/>
      <w:bookmarkStart w:id="64" w:name="_Toc16925"/>
      <w:bookmarkStart w:id="65" w:name="_Toc385"/>
      <w:r>
        <w:rPr>
          <w:rFonts w:hint="eastAsia"/>
          <w:color w:val="auto"/>
          <w:highlight w:val="none"/>
        </w:rPr>
        <w:t>（四）投标费用</w:t>
      </w:r>
      <w:bookmarkEnd w:id="55"/>
      <w:bookmarkEnd w:id="56"/>
      <w:bookmarkEnd w:id="57"/>
      <w:bookmarkEnd w:id="58"/>
      <w:bookmarkEnd w:id="59"/>
      <w:bookmarkEnd w:id="60"/>
      <w:bookmarkEnd w:id="61"/>
      <w:bookmarkEnd w:id="62"/>
      <w:bookmarkEnd w:id="63"/>
      <w:bookmarkEnd w:id="64"/>
      <w:bookmarkEnd w:id="65"/>
    </w:p>
    <w:p>
      <w:pPr>
        <w:tabs>
          <w:tab w:val="left" w:pos="720"/>
        </w:tabs>
        <w:ind w:firstLine="480" w:firstLineChars="200"/>
        <w:rPr>
          <w:color w:val="auto"/>
          <w:highlight w:val="none"/>
        </w:rPr>
      </w:pPr>
      <w:r>
        <w:rPr>
          <w:rFonts w:hint="eastAsia"/>
          <w:color w:val="auto"/>
          <w:highlight w:val="none"/>
        </w:rPr>
        <w:t>投标人应承担其编制投标文件及提交投标文件和投标过程所涉及的一切费用。无论投标结果如何，招标人对上述费用不负任何责任。</w:t>
      </w:r>
    </w:p>
    <w:p>
      <w:pPr>
        <w:pStyle w:val="2"/>
        <w:jc w:val="center"/>
        <w:rPr>
          <w:color w:val="auto"/>
          <w:highlight w:val="none"/>
        </w:rPr>
      </w:pPr>
      <w:bookmarkStart w:id="66" w:name="_Toc9626"/>
      <w:bookmarkStart w:id="67" w:name="_Toc12599"/>
      <w:bookmarkStart w:id="68" w:name="_Toc27644"/>
      <w:bookmarkStart w:id="69" w:name="_Toc13889"/>
      <w:bookmarkStart w:id="70" w:name="_Toc26508"/>
      <w:bookmarkStart w:id="71" w:name="_Toc19215"/>
      <w:bookmarkStart w:id="72" w:name="_Toc29757"/>
      <w:bookmarkStart w:id="73" w:name="_Toc6165"/>
      <w:bookmarkStart w:id="74" w:name="_Toc5659"/>
      <w:bookmarkStart w:id="75" w:name="_Toc25628"/>
      <w:bookmarkStart w:id="76" w:name="_Toc135743336"/>
      <w:r>
        <w:rPr>
          <w:rFonts w:hint="eastAsia"/>
          <w:color w:val="auto"/>
          <w:highlight w:val="none"/>
        </w:rPr>
        <w:t>二、招标文件</w:t>
      </w:r>
      <w:bookmarkEnd w:id="66"/>
      <w:bookmarkEnd w:id="67"/>
      <w:bookmarkEnd w:id="68"/>
      <w:bookmarkEnd w:id="69"/>
      <w:bookmarkEnd w:id="70"/>
      <w:bookmarkEnd w:id="71"/>
      <w:bookmarkEnd w:id="72"/>
      <w:bookmarkEnd w:id="73"/>
      <w:bookmarkEnd w:id="74"/>
      <w:bookmarkEnd w:id="75"/>
      <w:bookmarkEnd w:id="76"/>
    </w:p>
    <w:p>
      <w:pPr>
        <w:pStyle w:val="10"/>
        <w:rPr>
          <w:color w:val="auto"/>
          <w:highlight w:val="none"/>
        </w:rPr>
      </w:pPr>
      <w:bookmarkStart w:id="77" w:name="_Toc5426"/>
      <w:bookmarkStart w:id="78" w:name="_Toc18540"/>
      <w:bookmarkStart w:id="79" w:name="_Toc22752"/>
      <w:bookmarkStart w:id="80" w:name="_Toc7971"/>
      <w:bookmarkStart w:id="81" w:name="_Toc135743337"/>
      <w:bookmarkStart w:id="82" w:name="_Toc4644"/>
      <w:bookmarkStart w:id="83" w:name="_Toc21673"/>
      <w:bookmarkStart w:id="84" w:name="_Toc3783"/>
      <w:bookmarkStart w:id="85" w:name="_Toc390"/>
      <w:bookmarkStart w:id="86" w:name="_Toc30743"/>
      <w:bookmarkStart w:id="87" w:name="_Toc32627"/>
      <w:r>
        <w:rPr>
          <w:rFonts w:hint="eastAsia"/>
          <w:color w:val="auto"/>
          <w:highlight w:val="none"/>
        </w:rPr>
        <w:t>（一）招标文件的组成</w:t>
      </w:r>
      <w:bookmarkEnd w:id="77"/>
      <w:bookmarkEnd w:id="78"/>
      <w:bookmarkEnd w:id="79"/>
      <w:bookmarkEnd w:id="80"/>
      <w:bookmarkEnd w:id="81"/>
      <w:bookmarkEnd w:id="82"/>
      <w:bookmarkEnd w:id="83"/>
      <w:bookmarkEnd w:id="84"/>
      <w:bookmarkEnd w:id="85"/>
      <w:bookmarkEnd w:id="86"/>
      <w:bookmarkEnd w:id="87"/>
    </w:p>
    <w:p>
      <w:pPr>
        <w:tabs>
          <w:tab w:val="left" w:pos="720"/>
        </w:tabs>
        <w:ind w:firstLine="480" w:firstLineChars="200"/>
        <w:rPr>
          <w:color w:val="auto"/>
          <w:highlight w:val="none"/>
        </w:rPr>
      </w:pPr>
      <w:r>
        <w:rPr>
          <w:rFonts w:hint="eastAsia"/>
          <w:color w:val="auto"/>
          <w:highlight w:val="none"/>
        </w:rPr>
        <w:t>本文件及所有按第（二）条澄清、修改和补充均为招标文件的组成部分。</w:t>
      </w:r>
    </w:p>
    <w:p>
      <w:pPr>
        <w:pStyle w:val="10"/>
        <w:rPr>
          <w:color w:val="auto"/>
          <w:highlight w:val="none"/>
        </w:rPr>
      </w:pPr>
      <w:bookmarkStart w:id="88" w:name="_Toc7503"/>
      <w:bookmarkStart w:id="89" w:name="_Toc135743338"/>
      <w:bookmarkStart w:id="90" w:name="_Toc2388"/>
      <w:bookmarkStart w:id="91" w:name="_Toc1796"/>
      <w:bookmarkStart w:id="92" w:name="_Toc23904"/>
      <w:bookmarkStart w:id="93" w:name="_Toc26710"/>
      <w:bookmarkStart w:id="94" w:name="_Toc26896"/>
      <w:bookmarkStart w:id="95" w:name="_Toc942"/>
      <w:bookmarkStart w:id="96" w:name="_Toc18360"/>
      <w:bookmarkStart w:id="97" w:name="_Toc32421"/>
      <w:bookmarkStart w:id="98" w:name="_Toc23839"/>
      <w:r>
        <w:rPr>
          <w:rFonts w:hint="eastAsia"/>
          <w:color w:val="auto"/>
          <w:highlight w:val="none"/>
        </w:rPr>
        <w:t>（二）招标文件的澄清、修改和补充</w:t>
      </w:r>
      <w:bookmarkEnd w:id="88"/>
      <w:bookmarkEnd w:id="89"/>
      <w:bookmarkEnd w:id="90"/>
      <w:bookmarkEnd w:id="91"/>
      <w:bookmarkEnd w:id="92"/>
      <w:bookmarkEnd w:id="93"/>
      <w:bookmarkEnd w:id="94"/>
      <w:bookmarkEnd w:id="95"/>
      <w:bookmarkEnd w:id="96"/>
      <w:bookmarkEnd w:id="97"/>
      <w:bookmarkEnd w:id="98"/>
    </w:p>
    <w:p>
      <w:pPr>
        <w:pStyle w:val="5"/>
        <w:ind w:left="0" w:leftChars="0"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投标人若对招标文件有疑问，应于</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2023年5月2</w:t>
      </w:r>
      <w:r>
        <w:rPr>
          <w:rFonts w:hint="eastAsia" w:asciiTheme="minorEastAsia" w:hAnsiTheme="minorEastAsia" w:eastAsiaTheme="minorEastAsia"/>
          <w:color w:val="auto"/>
          <w:highlight w:val="none"/>
          <w:u w:val="single"/>
          <w:lang w:val="en-US" w:eastAsia="zh-CN"/>
        </w:rPr>
        <w:t>8</w:t>
      </w:r>
      <w:r>
        <w:rPr>
          <w:rFonts w:asciiTheme="minorEastAsia" w:hAnsiTheme="minorEastAsia" w:eastAsiaTheme="minorEastAsia"/>
          <w:color w:val="auto"/>
          <w:highlight w:val="none"/>
          <w:u w:val="single"/>
        </w:rPr>
        <w:t>日12时</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rPr>
        <w:t>前以电子邮件形式（未疑问的视同认可）发送到</w:t>
      </w: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highlight w:val="none"/>
        </w:rPr>
        <w:t>招标</w:t>
      </w:r>
      <w:r>
        <w:rPr>
          <w:rFonts w:hint="eastAsia" w:asciiTheme="minorEastAsia" w:hAnsiTheme="minorEastAsia" w:eastAsiaTheme="minorEastAsia"/>
          <w:color w:val="auto"/>
          <w:highlight w:val="none"/>
        </w:rPr>
        <w:t>小组</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 xml:space="preserve">要求注明被疑问项目名称，不要标明疑问人的单位名称。 </w:t>
      </w:r>
      <w:r>
        <w:rPr>
          <w:rFonts w:asciiTheme="minorEastAsia" w:hAnsiTheme="minorEastAsia" w:eastAsiaTheme="minorEastAsia"/>
          <w:color w:val="auto"/>
          <w:highlight w:val="none"/>
        </w:rPr>
        <w:t>无论是招标人根据需要或是根据投标人的要求对招标文件进行的澄清、修改或补充，招标人都将于</w:t>
      </w:r>
      <w:r>
        <w:rPr>
          <w:rFonts w:asciiTheme="minorEastAsia" w:hAnsiTheme="minorEastAsia" w:eastAsiaTheme="minorEastAsia"/>
          <w:color w:val="auto"/>
          <w:highlight w:val="none"/>
          <w:u w:val="single"/>
        </w:rPr>
        <w:t>2023年5月2</w:t>
      </w:r>
      <w:r>
        <w:rPr>
          <w:rFonts w:hint="eastAsia" w:asciiTheme="minorEastAsia" w:hAnsiTheme="minorEastAsia" w:eastAsiaTheme="minorEastAsia"/>
          <w:color w:val="auto"/>
          <w:highlight w:val="none"/>
          <w:u w:val="single"/>
          <w:lang w:val="en-US" w:eastAsia="zh-CN"/>
        </w:rPr>
        <w:t>9</w:t>
      </w:r>
      <w:r>
        <w:rPr>
          <w:rFonts w:asciiTheme="minorEastAsia" w:hAnsiTheme="minorEastAsia" w:eastAsiaTheme="minorEastAsia"/>
          <w:color w:val="auto"/>
          <w:highlight w:val="none"/>
          <w:u w:val="single"/>
        </w:rPr>
        <w:t>日12时</w:t>
      </w:r>
      <w:r>
        <w:rPr>
          <w:rFonts w:asciiTheme="minorEastAsia" w:hAnsiTheme="minorEastAsia" w:eastAsiaTheme="minorEastAsia"/>
          <w:color w:val="auto"/>
          <w:highlight w:val="none"/>
        </w:rPr>
        <w:t>前以邮件形式提统一回复。该澄清、修改或补充作为招标文件的组成部分，具有约束作用。</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招标文件的澄清、修改、补充等内容均以书面形式明确的内容为准。当招标文件、招标文件的澄清、修改、补充等在同一内容的表述上不一致时，以最后发出的书面文件为准。</w:t>
      </w:r>
    </w:p>
    <w:p>
      <w:pPr>
        <w:pStyle w:val="10"/>
        <w:rPr>
          <w:color w:val="auto"/>
          <w:highlight w:val="none"/>
        </w:rPr>
      </w:pPr>
      <w:bookmarkStart w:id="99" w:name="_Toc8629"/>
      <w:bookmarkStart w:id="100" w:name="_Toc16434"/>
      <w:bookmarkStart w:id="101" w:name="_Toc26296"/>
      <w:bookmarkStart w:id="102" w:name="_Toc1397"/>
      <w:bookmarkStart w:id="103" w:name="_Toc21158"/>
      <w:bookmarkStart w:id="104" w:name="_Toc27258"/>
      <w:bookmarkStart w:id="105" w:name="_Toc2475"/>
      <w:bookmarkStart w:id="106" w:name="_Toc135743339"/>
      <w:bookmarkStart w:id="107" w:name="_Toc11625"/>
      <w:bookmarkStart w:id="108" w:name="_Toc27001"/>
      <w:bookmarkStart w:id="109" w:name="_Toc13477"/>
      <w:r>
        <w:rPr>
          <w:rFonts w:hint="eastAsia"/>
          <w:color w:val="auto"/>
          <w:highlight w:val="none"/>
        </w:rPr>
        <w:t>（三）投标人应尽义务</w:t>
      </w:r>
      <w:bookmarkEnd w:id="99"/>
      <w:bookmarkEnd w:id="100"/>
      <w:bookmarkEnd w:id="101"/>
      <w:bookmarkEnd w:id="102"/>
      <w:bookmarkEnd w:id="103"/>
      <w:bookmarkEnd w:id="104"/>
      <w:bookmarkEnd w:id="105"/>
      <w:bookmarkEnd w:id="106"/>
      <w:bookmarkEnd w:id="107"/>
      <w:bookmarkEnd w:id="108"/>
      <w:bookmarkEnd w:id="109"/>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投标人应认真检查招标文件的内容是否齐全，如有遗漏请于投标截止时间2日前索取，否则责任自负。同时应仔细阅读招标文件的所有内容，未按招标文件要求编制的投标文件将被拒绝。</w:t>
      </w:r>
    </w:p>
    <w:p>
      <w:pPr>
        <w:pStyle w:val="2"/>
        <w:jc w:val="center"/>
        <w:rPr>
          <w:color w:val="auto"/>
          <w:highlight w:val="none"/>
        </w:rPr>
      </w:pPr>
      <w:bookmarkStart w:id="110" w:name="_Toc135743340"/>
      <w:bookmarkStart w:id="111" w:name="_Toc26344"/>
      <w:bookmarkStart w:id="112" w:name="_Toc20755"/>
      <w:bookmarkStart w:id="113" w:name="_Toc13236"/>
      <w:bookmarkStart w:id="114" w:name="_Toc7309"/>
      <w:bookmarkStart w:id="115" w:name="_Toc15468"/>
      <w:bookmarkStart w:id="116" w:name="_Toc26064"/>
      <w:bookmarkStart w:id="117" w:name="_Toc18755"/>
      <w:bookmarkStart w:id="118" w:name="_Toc16633"/>
      <w:bookmarkStart w:id="119" w:name="_Toc2741"/>
      <w:bookmarkStart w:id="120" w:name="_Toc18448"/>
      <w:r>
        <w:rPr>
          <w:rFonts w:hint="eastAsia"/>
          <w:color w:val="auto"/>
          <w:highlight w:val="none"/>
        </w:rPr>
        <w:t>三、投标文件</w:t>
      </w:r>
      <w:bookmarkEnd w:id="110"/>
      <w:bookmarkEnd w:id="111"/>
      <w:bookmarkEnd w:id="112"/>
      <w:bookmarkEnd w:id="113"/>
      <w:bookmarkEnd w:id="114"/>
      <w:bookmarkEnd w:id="115"/>
      <w:bookmarkEnd w:id="116"/>
      <w:bookmarkEnd w:id="117"/>
      <w:bookmarkEnd w:id="118"/>
      <w:bookmarkEnd w:id="119"/>
      <w:bookmarkEnd w:id="120"/>
    </w:p>
    <w:p>
      <w:pPr>
        <w:pStyle w:val="10"/>
        <w:rPr>
          <w:color w:val="auto"/>
          <w:highlight w:val="none"/>
        </w:rPr>
      </w:pPr>
      <w:bookmarkStart w:id="121" w:name="_Toc23506"/>
      <w:bookmarkStart w:id="122" w:name="_Toc4222"/>
      <w:bookmarkStart w:id="123" w:name="_Toc3721"/>
      <w:bookmarkStart w:id="124" w:name="_Toc17169"/>
      <w:bookmarkStart w:id="125" w:name="_Toc135743341"/>
      <w:bookmarkStart w:id="126" w:name="_Toc12630"/>
      <w:bookmarkStart w:id="127" w:name="_Toc25122"/>
      <w:bookmarkStart w:id="128" w:name="_Toc25004"/>
      <w:bookmarkStart w:id="129" w:name="_Toc23059"/>
      <w:bookmarkStart w:id="130" w:name="_Toc11511"/>
      <w:bookmarkStart w:id="131" w:name="_Toc30210"/>
      <w:r>
        <w:rPr>
          <w:rFonts w:hint="eastAsia"/>
          <w:color w:val="auto"/>
          <w:highlight w:val="none"/>
        </w:rPr>
        <w:t>（一）说明</w:t>
      </w:r>
      <w:bookmarkEnd w:id="121"/>
      <w:bookmarkEnd w:id="122"/>
      <w:bookmarkEnd w:id="123"/>
      <w:bookmarkEnd w:id="124"/>
      <w:bookmarkEnd w:id="125"/>
      <w:bookmarkEnd w:id="126"/>
      <w:bookmarkEnd w:id="127"/>
      <w:bookmarkEnd w:id="128"/>
      <w:bookmarkEnd w:id="129"/>
      <w:bookmarkEnd w:id="130"/>
      <w:bookmarkEnd w:id="131"/>
    </w:p>
    <w:p>
      <w:pPr>
        <w:ind w:firstLine="480" w:firstLineChars="200"/>
        <w:rPr>
          <w:color w:val="auto"/>
          <w:highlight w:val="none"/>
        </w:rPr>
      </w:pPr>
      <w:r>
        <w:rPr>
          <w:rFonts w:hint="eastAsia"/>
          <w:color w:val="auto"/>
          <w:highlight w:val="none"/>
        </w:rPr>
        <w:t>投标文件应充分反映招标文件的所有要求，并作出实质性的响应，否则投标无效，不得进入评标。</w:t>
      </w:r>
    </w:p>
    <w:p>
      <w:pPr>
        <w:pStyle w:val="10"/>
        <w:rPr>
          <w:color w:val="auto"/>
          <w:highlight w:val="none"/>
        </w:rPr>
      </w:pPr>
      <w:bookmarkStart w:id="132" w:name="_Toc29987"/>
      <w:bookmarkStart w:id="133" w:name="_Toc2281"/>
      <w:bookmarkStart w:id="134" w:name="_Toc15281"/>
      <w:bookmarkStart w:id="135" w:name="_Toc26643"/>
      <w:bookmarkStart w:id="136" w:name="_Toc9827"/>
      <w:bookmarkStart w:id="137" w:name="_Toc135743342"/>
      <w:bookmarkStart w:id="138" w:name="_Toc21177"/>
      <w:bookmarkStart w:id="139" w:name="_Toc3018"/>
      <w:bookmarkStart w:id="140" w:name="_Toc4196"/>
      <w:bookmarkStart w:id="141" w:name="_Toc30514"/>
      <w:bookmarkStart w:id="142" w:name="_Toc27380"/>
      <w:r>
        <w:rPr>
          <w:rFonts w:hint="eastAsia"/>
          <w:color w:val="auto"/>
          <w:highlight w:val="none"/>
        </w:rPr>
        <w:t>（二）投标报价</w:t>
      </w:r>
      <w:bookmarkEnd w:id="132"/>
      <w:bookmarkEnd w:id="133"/>
      <w:bookmarkEnd w:id="134"/>
      <w:bookmarkEnd w:id="135"/>
      <w:bookmarkEnd w:id="136"/>
      <w:bookmarkEnd w:id="137"/>
      <w:bookmarkEnd w:id="138"/>
      <w:bookmarkEnd w:id="139"/>
      <w:bookmarkEnd w:id="140"/>
      <w:bookmarkEnd w:id="141"/>
      <w:bookmarkEnd w:id="142"/>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1、投标人的投标报价，应是完成本招标文件所确定的“招标内容及交货时间”的全部（不论材料数量增减，交货时间不予调整）。</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报价方式按一次性报综合单价和投标总价，并按附件“投标报价表”填报“综合单价”和总价。综合单价内容包括但不限于：人工费、材料费、运输费、装卸费、制作和安装费、检测费、验收、质量保修、安全措施费、招标代理服务费、招投标综合服务费、质量保修费（包括与显示屏管理部门的配合费）、后续服务、税金、不可预见性风险费、有关规费等有可能发生的一切费用。竣工结算时数量按实调整，综合单价不论发生何种情况一律不予调整。</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3、风险：在供货时间内如发生物价涨跌、政策性调整等风险因素与招标人无涉，由投标人自行考虑在投标报价内。</w:t>
      </w:r>
    </w:p>
    <w:p>
      <w:pPr>
        <w:pStyle w:val="10"/>
        <w:rPr>
          <w:color w:val="auto"/>
          <w:highlight w:val="none"/>
        </w:rPr>
      </w:pPr>
      <w:bookmarkStart w:id="143" w:name="_Toc30287"/>
      <w:bookmarkStart w:id="144" w:name="_Toc27374"/>
      <w:bookmarkStart w:id="145" w:name="_Toc30228"/>
      <w:bookmarkStart w:id="146" w:name="_Toc19618"/>
      <w:bookmarkStart w:id="147" w:name="_Toc22285"/>
      <w:bookmarkStart w:id="148" w:name="_Toc15115"/>
      <w:bookmarkStart w:id="149" w:name="_Toc1655"/>
      <w:bookmarkStart w:id="150" w:name="_Toc14012"/>
      <w:bookmarkStart w:id="151" w:name="_Toc8142"/>
      <w:bookmarkStart w:id="152" w:name="_Toc27260"/>
      <w:bookmarkStart w:id="153" w:name="_Toc135743343"/>
      <w:r>
        <w:rPr>
          <w:rFonts w:hint="eastAsia"/>
          <w:color w:val="auto"/>
          <w:highlight w:val="none"/>
        </w:rPr>
        <w:t>（三）投标文件组成</w:t>
      </w:r>
      <w:bookmarkEnd w:id="143"/>
      <w:bookmarkEnd w:id="144"/>
      <w:bookmarkEnd w:id="145"/>
      <w:bookmarkEnd w:id="146"/>
      <w:bookmarkEnd w:id="147"/>
      <w:bookmarkEnd w:id="148"/>
      <w:bookmarkEnd w:id="149"/>
      <w:bookmarkEnd w:id="150"/>
      <w:bookmarkEnd w:id="151"/>
      <w:bookmarkEnd w:id="152"/>
      <w:bookmarkEnd w:id="153"/>
    </w:p>
    <w:p>
      <w:pPr>
        <w:ind w:firstLine="482" w:firstLineChars="200"/>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投标文件分为商务标、资格后审资料二个部分，内容如下：</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1、商务标</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（1）投标函</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主要内容为根据企业的经营情况和管理水平，对招标文件规定的材料质量、规格、品种、交货时间等主要内容的承诺保证；</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（2）投标报价表；</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（3）法定代表人身份证明书；</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（4）投标文件签署授权委托书（原件）。</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上述（1）~（4）项资料按顺序统一装订（正本一份，副本</w:t>
      </w:r>
      <w:r>
        <w:rPr>
          <w:rFonts w:asciiTheme="minorEastAsia" w:hAnsiTheme="minorEastAsia" w:eastAsiaTheme="minorEastAsia"/>
          <w:color w:val="auto"/>
          <w:highlight w:val="none"/>
        </w:rPr>
        <w:t>两</w:t>
      </w:r>
      <w:r>
        <w:rPr>
          <w:rFonts w:hint="eastAsia" w:asciiTheme="minorEastAsia" w:hAnsiTheme="minorEastAsia" w:eastAsiaTheme="minorEastAsia"/>
          <w:color w:val="auto"/>
          <w:highlight w:val="none"/>
        </w:rPr>
        <w:t>份）</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2、资格后审资料</w:t>
      </w:r>
    </w:p>
    <w:p>
      <w:pPr>
        <w:tabs>
          <w:tab w:val="left" w:pos="360"/>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（1）制造商或授权经销商的企业法人营业执照复印件；</w:t>
      </w:r>
    </w:p>
    <w:p>
      <w:pPr>
        <w:tabs>
          <w:tab w:val="left" w:pos="360"/>
          <w:tab w:val="left" w:pos="12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（2）制造商生产许可证或有权部门批准的相关证书复印件；</w:t>
      </w:r>
    </w:p>
    <w:p>
      <w:pPr>
        <w:tabs>
          <w:tab w:val="left" w:pos="36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（3）如为经销商投标时，必须提供制造商针对本项目的投标授权委托书。</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上述（1）~（</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）项资料按顺序统一装订（正本一份，副本</w:t>
      </w:r>
      <w:r>
        <w:rPr>
          <w:rFonts w:asciiTheme="minorEastAsia" w:hAnsiTheme="minorEastAsia" w:eastAsiaTheme="minorEastAsia"/>
          <w:color w:val="auto"/>
          <w:highlight w:val="none"/>
        </w:rPr>
        <w:t>两</w:t>
      </w:r>
      <w:r>
        <w:rPr>
          <w:rFonts w:hint="eastAsia" w:asciiTheme="minorEastAsia" w:hAnsiTheme="minorEastAsia" w:eastAsiaTheme="minorEastAsia"/>
          <w:color w:val="auto"/>
          <w:highlight w:val="none"/>
        </w:rPr>
        <w:t>份），并在开标时带原件备查，如经销商不能提供制造商的相关证书原件时，则必须在复印件上加盖制造厂商的公章，以证明其真实性和有效性，否则投标无效。</w:t>
      </w:r>
    </w:p>
    <w:p>
      <w:pPr>
        <w:pStyle w:val="10"/>
        <w:rPr>
          <w:color w:val="auto"/>
          <w:highlight w:val="none"/>
        </w:rPr>
      </w:pPr>
      <w:bookmarkStart w:id="154" w:name="_Toc26988"/>
      <w:bookmarkStart w:id="155" w:name="_Toc30046"/>
      <w:bookmarkStart w:id="156" w:name="_Toc540"/>
      <w:bookmarkStart w:id="157" w:name="_Toc135743344"/>
      <w:bookmarkStart w:id="158" w:name="_Toc6047"/>
      <w:bookmarkStart w:id="159" w:name="_Toc18063"/>
      <w:bookmarkStart w:id="160" w:name="_Toc20423"/>
      <w:bookmarkStart w:id="161" w:name="_Toc18736"/>
      <w:bookmarkStart w:id="162" w:name="_Toc26840"/>
      <w:bookmarkStart w:id="163" w:name="_Toc23783"/>
      <w:bookmarkStart w:id="164" w:name="_Toc1893"/>
      <w:r>
        <w:rPr>
          <w:rFonts w:hint="eastAsia"/>
          <w:color w:val="auto"/>
          <w:sz w:val="28"/>
          <w:szCs w:val="44"/>
          <w:highlight w:val="none"/>
        </w:rPr>
        <w:t>（</w:t>
      </w:r>
      <w:r>
        <w:rPr>
          <w:rFonts w:hint="eastAsia"/>
          <w:color w:val="auto"/>
          <w:highlight w:val="none"/>
        </w:rPr>
        <w:t>四</w:t>
      </w:r>
      <w:r>
        <w:rPr>
          <w:rFonts w:hint="eastAsia"/>
          <w:color w:val="auto"/>
          <w:sz w:val="28"/>
          <w:szCs w:val="44"/>
          <w:highlight w:val="none"/>
        </w:rPr>
        <w:t>）</w:t>
      </w:r>
      <w:r>
        <w:rPr>
          <w:rFonts w:hint="eastAsia"/>
          <w:color w:val="auto"/>
          <w:highlight w:val="none"/>
        </w:rPr>
        <w:t>投标文件制作规则</w:t>
      </w:r>
      <w:bookmarkEnd w:id="154"/>
      <w:bookmarkEnd w:id="155"/>
      <w:bookmarkEnd w:id="156"/>
      <w:bookmarkEnd w:id="157"/>
      <w:bookmarkEnd w:id="158"/>
      <w:bookmarkEnd w:id="159"/>
      <w:bookmarkEnd w:id="160"/>
      <w:bookmarkEnd w:id="161"/>
      <w:bookmarkEnd w:id="162"/>
      <w:bookmarkEnd w:id="163"/>
      <w:bookmarkEnd w:id="164"/>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投标文件内的所有复印件必须与原件一致，不得涂改，如发现与原件不一致或涂改，将被取消投标资格。</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招标文件提供的投标文件格式投标人必须使用，格式可以按同样格式扩展。</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投标文件正本和副本均须打印或用不褪色的蓝黑墨水书写，其正、副本都应分别装订成册，并在封面右上角正确标明“正本、副本”字样，正本与副本不一致时，以正本为准。</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全套投标文件应无修改和行间插字。如有修改须在修改处加盖投标人法定代表人或其代理人的印鉴。</w:t>
      </w:r>
    </w:p>
    <w:p>
      <w:pPr>
        <w:rPr>
          <w:rFonts w:hint="eastAsia"/>
          <w:color w:val="auto"/>
          <w:highlight w:val="none"/>
        </w:rPr>
      </w:pPr>
      <w:bookmarkStart w:id="165" w:name="_Toc7481"/>
      <w:bookmarkStart w:id="166" w:name="_Toc135743345"/>
      <w:bookmarkStart w:id="167" w:name="_Toc1186"/>
      <w:bookmarkStart w:id="168" w:name="_Toc11060"/>
      <w:bookmarkStart w:id="169" w:name="_Toc23597"/>
      <w:bookmarkStart w:id="170" w:name="_Toc24052"/>
      <w:bookmarkStart w:id="171" w:name="_Toc11287"/>
      <w:bookmarkStart w:id="172" w:name="_Toc31917"/>
      <w:bookmarkStart w:id="173" w:name="_Toc17794"/>
      <w:bookmarkStart w:id="174" w:name="_Toc20357"/>
      <w:r>
        <w:rPr>
          <w:rFonts w:hint="eastAsia"/>
          <w:color w:val="auto"/>
          <w:highlight w:val="none"/>
        </w:rPr>
        <w:br w:type="page"/>
      </w:r>
    </w:p>
    <w:p>
      <w:pPr>
        <w:pStyle w:val="2"/>
        <w:jc w:val="center"/>
        <w:rPr>
          <w:color w:val="auto"/>
          <w:highlight w:val="none"/>
        </w:rPr>
      </w:pPr>
      <w:bookmarkStart w:id="175" w:name="_Toc17508"/>
      <w:r>
        <w:rPr>
          <w:rFonts w:hint="eastAsia"/>
          <w:color w:val="auto"/>
          <w:highlight w:val="none"/>
        </w:rPr>
        <w:t>四、投标文件密封和提交</w:t>
      </w:r>
      <w:bookmarkEnd w:id="165"/>
      <w:bookmarkEnd w:id="166"/>
      <w:bookmarkEnd w:id="167"/>
      <w:bookmarkEnd w:id="168"/>
      <w:bookmarkEnd w:id="169"/>
      <w:bookmarkEnd w:id="170"/>
      <w:bookmarkEnd w:id="171"/>
      <w:bookmarkEnd w:id="172"/>
      <w:bookmarkEnd w:id="173"/>
      <w:bookmarkEnd w:id="174"/>
      <w:bookmarkEnd w:id="175"/>
    </w:p>
    <w:p>
      <w:pPr>
        <w:pStyle w:val="10"/>
        <w:rPr>
          <w:color w:val="auto"/>
          <w:highlight w:val="none"/>
        </w:rPr>
      </w:pPr>
      <w:bookmarkStart w:id="176" w:name="_Toc1530"/>
      <w:bookmarkStart w:id="177" w:name="_Toc28944"/>
      <w:bookmarkStart w:id="178" w:name="_Toc135743346"/>
      <w:bookmarkStart w:id="179" w:name="_Toc8098"/>
      <w:bookmarkStart w:id="180" w:name="_Toc11151"/>
      <w:bookmarkStart w:id="181" w:name="_Toc8542"/>
      <w:bookmarkStart w:id="182" w:name="_Toc25233"/>
      <w:bookmarkStart w:id="183" w:name="_Toc18749"/>
      <w:bookmarkStart w:id="184" w:name="_Toc7870"/>
      <w:bookmarkStart w:id="185" w:name="_Toc20385"/>
      <w:bookmarkStart w:id="186" w:name="_Toc17329"/>
      <w:r>
        <w:rPr>
          <w:rFonts w:hint="eastAsia"/>
          <w:color w:val="auto"/>
          <w:highlight w:val="none"/>
        </w:rPr>
        <w:t>（一）投标文件的密封与标志</w:t>
      </w:r>
      <w:bookmarkEnd w:id="176"/>
      <w:bookmarkEnd w:id="177"/>
      <w:bookmarkEnd w:id="178"/>
      <w:bookmarkEnd w:id="179"/>
      <w:bookmarkEnd w:id="180"/>
      <w:bookmarkEnd w:id="181"/>
      <w:bookmarkEnd w:id="182"/>
      <w:bookmarkEnd w:id="183"/>
      <w:bookmarkEnd w:id="184"/>
      <w:bookmarkEnd w:id="185"/>
      <w:bookmarkEnd w:id="186"/>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1、投标文件分为商务标、资格后审资料二个部分，按招标要求分别装订成册并密封完好，密封袋上应标明招标采购项目名称、标书名称、投标人名称。并在缝口处加盖公章。</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2、投标文件封面、投标函、投标报价表上均应加盖公章。</w:t>
      </w:r>
    </w:p>
    <w:p>
      <w:pPr>
        <w:pStyle w:val="10"/>
        <w:rPr>
          <w:color w:val="auto"/>
          <w:highlight w:val="none"/>
        </w:rPr>
      </w:pPr>
      <w:bookmarkStart w:id="187" w:name="_Toc29556"/>
      <w:bookmarkStart w:id="188" w:name="_Toc25498"/>
      <w:bookmarkStart w:id="189" w:name="_Toc31801"/>
      <w:bookmarkStart w:id="190" w:name="_Toc27874"/>
      <w:bookmarkStart w:id="191" w:name="_Toc24278"/>
      <w:bookmarkStart w:id="192" w:name="_Toc1649"/>
      <w:bookmarkStart w:id="193" w:name="_Toc17753"/>
      <w:bookmarkStart w:id="194" w:name="_Toc135743347"/>
      <w:bookmarkStart w:id="195" w:name="_Toc6569"/>
      <w:bookmarkStart w:id="196" w:name="_Toc2418"/>
      <w:bookmarkStart w:id="197" w:name="_Toc31467"/>
      <w:r>
        <w:rPr>
          <w:rFonts w:hint="eastAsia"/>
          <w:color w:val="auto"/>
          <w:highlight w:val="none"/>
        </w:rPr>
        <w:t>（二）投标文件提交地点和截止时间</w:t>
      </w:r>
      <w:bookmarkEnd w:id="187"/>
      <w:bookmarkEnd w:id="188"/>
      <w:bookmarkEnd w:id="189"/>
      <w:bookmarkEnd w:id="190"/>
      <w:bookmarkEnd w:id="191"/>
      <w:bookmarkEnd w:id="192"/>
      <w:bookmarkEnd w:id="193"/>
      <w:bookmarkEnd w:id="194"/>
      <w:bookmarkEnd w:id="195"/>
      <w:bookmarkEnd w:id="196"/>
      <w:bookmarkEnd w:id="197"/>
    </w:p>
    <w:p>
      <w:pPr>
        <w:tabs>
          <w:tab w:val="left" w:pos="720"/>
        </w:tabs>
        <w:ind w:firstLine="480" w:firstLineChars="200"/>
        <w:rPr>
          <w:color w:val="auto"/>
          <w:highlight w:val="none"/>
        </w:rPr>
      </w:pPr>
      <w:r>
        <w:rPr>
          <w:rFonts w:hint="eastAsia"/>
          <w:color w:val="auto"/>
          <w:highlight w:val="none"/>
        </w:rPr>
        <w:t>投标人须在投标须知中规定的投标文件提交截止时间之前将投标文件提交到招标小组。投标文件的提交地点与截止时间以第一章投标须知部分约定为准。</w:t>
      </w:r>
    </w:p>
    <w:p>
      <w:pPr>
        <w:pStyle w:val="10"/>
        <w:rPr>
          <w:color w:val="auto"/>
          <w:highlight w:val="none"/>
        </w:rPr>
      </w:pPr>
      <w:bookmarkStart w:id="198" w:name="_Toc135743348"/>
      <w:bookmarkStart w:id="199" w:name="_Toc12051"/>
      <w:bookmarkStart w:id="200" w:name="_Toc17086"/>
      <w:bookmarkStart w:id="201" w:name="_Toc1116"/>
      <w:bookmarkStart w:id="202" w:name="_Toc28775"/>
      <w:bookmarkStart w:id="203" w:name="_Toc267"/>
      <w:bookmarkStart w:id="204" w:name="_Toc27735"/>
      <w:bookmarkStart w:id="205" w:name="_Toc13298"/>
      <w:bookmarkStart w:id="206" w:name="_Toc14440"/>
      <w:bookmarkStart w:id="207" w:name="_Toc12958"/>
      <w:bookmarkStart w:id="208" w:name="_Toc6170"/>
      <w:r>
        <w:rPr>
          <w:rFonts w:hint="eastAsia"/>
          <w:color w:val="auto"/>
          <w:highlight w:val="none"/>
        </w:rPr>
        <w:t>（三）投标文件的修改或撤回</w:t>
      </w:r>
      <w:bookmarkEnd w:id="198"/>
      <w:bookmarkEnd w:id="199"/>
      <w:bookmarkEnd w:id="200"/>
      <w:bookmarkEnd w:id="201"/>
      <w:bookmarkEnd w:id="202"/>
      <w:bookmarkEnd w:id="203"/>
      <w:bookmarkEnd w:id="204"/>
      <w:bookmarkEnd w:id="205"/>
      <w:bookmarkEnd w:id="206"/>
      <w:bookmarkEnd w:id="207"/>
      <w:bookmarkEnd w:id="208"/>
    </w:p>
    <w:p>
      <w:pPr>
        <w:ind w:firstLine="480" w:firstLineChars="200"/>
        <w:rPr>
          <w:color w:val="auto"/>
          <w:highlight w:val="none"/>
        </w:rPr>
      </w:pPr>
      <w:r>
        <w:rPr>
          <w:rFonts w:hint="eastAsia"/>
          <w:color w:val="auto"/>
          <w:highlight w:val="none"/>
        </w:rPr>
        <w:t>投标截止时间之前，投标人可以对所提交的投标文件进行修改或撤回，但所提交的修改或撤回通知必须按招标文件的规定进行编制、密封、标志和提交（在封袋上标明“修改”或“撤回”字样，并注明修改或撤回的时间）。投标截止时间之后，投标人不得修改、补充或撤回投标文件。</w:t>
      </w:r>
    </w:p>
    <w:p>
      <w:pPr>
        <w:pStyle w:val="10"/>
        <w:rPr>
          <w:color w:val="auto"/>
          <w:highlight w:val="none"/>
        </w:rPr>
      </w:pPr>
      <w:bookmarkStart w:id="209" w:name="_Toc1572"/>
      <w:bookmarkStart w:id="210" w:name="_Toc285"/>
      <w:bookmarkStart w:id="211" w:name="_Toc4099"/>
      <w:bookmarkStart w:id="212" w:name="_Toc22696"/>
      <w:bookmarkStart w:id="213" w:name="_Toc22462"/>
      <w:bookmarkStart w:id="214" w:name="_Toc14152"/>
      <w:bookmarkStart w:id="215" w:name="_Toc23473"/>
      <w:bookmarkStart w:id="216" w:name="_Toc27089"/>
      <w:bookmarkStart w:id="217" w:name="_Toc7023"/>
      <w:bookmarkStart w:id="218" w:name="_Toc135743349"/>
      <w:bookmarkStart w:id="219" w:name="_Toc9814"/>
      <w:r>
        <w:rPr>
          <w:rFonts w:hint="eastAsia"/>
          <w:color w:val="auto"/>
          <w:highlight w:val="none"/>
        </w:rPr>
        <w:t>（四）投标文件不予受理的情况</w:t>
      </w:r>
      <w:bookmarkEnd w:id="209"/>
      <w:bookmarkEnd w:id="210"/>
      <w:bookmarkEnd w:id="211"/>
      <w:bookmarkEnd w:id="212"/>
      <w:bookmarkEnd w:id="213"/>
      <w:bookmarkEnd w:id="214"/>
      <w:bookmarkEnd w:id="215"/>
      <w:bookmarkEnd w:id="216"/>
      <w:bookmarkEnd w:id="217"/>
      <w:bookmarkEnd w:id="218"/>
      <w:bookmarkEnd w:id="219"/>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投标文件有下列情况之一的，招标人不予受理。</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1、逾期送达的，或者未送达指定地点的；</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2、投标文件未按照本招标文件的要求密封和标志的；</w:t>
      </w:r>
    </w:p>
    <w:p>
      <w:pPr>
        <w:ind w:firstLine="48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、不同投标人的投标文件由同一人或同一单位提交的。</w:t>
      </w:r>
    </w:p>
    <w:p>
      <w:pPr>
        <w:pStyle w:val="2"/>
        <w:jc w:val="center"/>
        <w:rPr>
          <w:color w:val="auto"/>
          <w:highlight w:val="none"/>
        </w:rPr>
      </w:pPr>
      <w:bookmarkStart w:id="220" w:name="_Toc32536"/>
      <w:bookmarkStart w:id="221" w:name="_Toc16342"/>
      <w:bookmarkStart w:id="222" w:name="_Toc135743350"/>
      <w:bookmarkStart w:id="223" w:name="_Toc13710"/>
      <w:bookmarkStart w:id="224" w:name="_Toc16883"/>
      <w:bookmarkStart w:id="225" w:name="_Toc6829"/>
      <w:bookmarkStart w:id="226" w:name="_Toc11132"/>
      <w:bookmarkStart w:id="227" w:name="_Toc13252"/>
      <w:bookmarkStart w:id="228" w:name="_Toc17716"/>
      <w:bookmarkStart w:id="229" w:name="_Toc30982"/>
      <w:bookmarkStart w:id="230" w:name="_Toc166"/>
      <w:r>
        <w:rPr>
          <w:rFonts w:hint="eastAsia"/>
          <w:color w:val="auto"/>
          <w:highlight w:val="none"/>
        </w:rPr>
        <w:t>五、开标、评标、定标</w:t>
      </w:r>
      <w:bookmarkEnd w:id="220"/>
      <w:bookmarkEnd w:id="221"/>
      <w:bookmarkEnd w:id="222"/>
      <w:bookmarkEnd w:id="223"/>
      <w:bookmarkEnd w:id="224"/>
      <w:bookmarkEnd w:id="225"/>
      <w:bookmarkEnd w:id="226"/>
      <w:bookmarkEnd w:id="227"/>
      <w:bookmarkEnd w:id="228"/>
      <w:bookmarkEnd w:id="229"/>
      <w:bookmarkEnd w:id="230"/>
    </w:p>
    <w:p>
      <w:pPr>
        <w:pStyle w:val="10"/>
        <w:rPr>
          <w:color w:val="auto"/>
          <w:highlight w:val="none"/>
        </w:rPr>
      </w:pPr>
      <w:bookmarkStart w:id="231" w:name="_Toc16151"/>
      <w:bookmarkStart w:id="232" w:name="_Toc12134"/>
      <w:bookmarkStart w:id="233" w:name="_Toc30800"/>
      <w:bookmarkStart w:id="234" w:name="_Toc2126"/>
      <w:bookmarkStart w:id="235" w:name="_Toc11019"/>
      <w:bookmarkStart w:id="236" w:name="_Toc14487"/>
      <w:bookmarkStart w:id="237" w:name="_Toc21105"/>
      <w:bookmarkStart w:id="238" w:name="_Toc135743351"/>
      <w:bookmarkStart w:id="239" w:name="_Toc9098"/>
      <w:bookmarkStart w:id="240" w:name="_Toc15301"/>
      <w:bookmarkStart w:id="241" w:name="_Toc32669"/>
      <w:r>
        <w:rPr>
          <w:rFonts w:hint="eastAsia"/>
          <w:color w:val="auto"/>
          <w:highlight w:val="none"/>
        </w:rPr>
        <w:t>（一）开标</w:t>
      </w:r>
      <w:bookmarkEnd w:id="231"/>
      <w:bookmarkEnd w:id="232"/>
      <w:bookmarkEnd w:id="233"/>
      <w:bookmarkEnd w:id="234"/>
      <w:bookmarkEnd w:id="235"/>
      <w:bookmarkEnd w:id="236"/>
      <w:bookmarkEnd w:id="237"/>
      <w:bookmarkEnd w:id="238"/>
      <w:bookmarkEnd w:id="239"/>
      <w:bookmarkEnd w:id="240"/>
      <w:bookmarkEnd w:id="241"/>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招标人按</w:t>
      </w:r>
      <w:r>
        <w:rPr>
          <w:rFonts w:hint="eastAsia" w:asciiTheme="minorEastAsia" w:hAnsiTheme="minorEastAsia" w:eastAsiaTheme="minorEastAsia"/>
          <w:color w:val="auto"/>
          <w:highlight w:val="none"/>
        </w:rPr>
        <w:t>本</w:t>
      </w:r>
      <w:r>
        <w:rPr>
          <w:rFonts w:asciiTheme="minorEastAsia" w:hAnsiTheme="minorEastAsia" w:eastAsiaTheme="minorEastAsia"/>
          <w:color w:val="auto"/>
          <w:highlight w:val="none"/>
        </w:rPr>
        <w:t>文件规定的时间和地点公开开标，并邀请所有投标人参加。参加本工程投标</w:t>
      </w:r>
      <w:r>
        <w:rPr>
          <w:rFonts w:hint="eastAsia" w:asciiTheme="minorEastAsia" w:hAnsiTheme="minorEastAsia" w:eastAsiaTheme="minorEastAsia"/>
          <w:color w:val="auto"/>
          <w:highlight w:val="none"/>
        </w:rPr>
        <w:t>单位</w:t>
      </w:r>
      <w:r>
        <w:rPr>
          <w:rFonts w:asciiTheme="minorEastAsia" w:hAnsiTheme="minorEastAsia" w:eastAsiaTheme="minorEastAsia"/>
          <w:color w:val="auto"/>
          <w:highlight w:val="none"/>
        </w:rPr>
        <w:t>的</w:t>
      </w:r>
      <w:r>
        <w:rPr>
          <w:rFonts w:hint="eastAsia" w:asciiTheme="minorEastAsia" w:hAnsiTheme="minorEastAsia" w:eastAsiaTheme="minorEastAsia"/>
          <w:color w:val="auto"/>
          <w:highlight w:val="none"/>
        </w:rPr>
        <w:t>法定代表人或授权委托人</w:t>
      </w:r>
      <w:r>
        <w:rPr>
          <w:rFonts w:asciiTheme="minorEastAsia" w:hAnsiTheme="minorEastAsia" w:eastAsiaTheme="minorEastAsia"/>
          <w:color w:val="auto"/>
          <w:highlight w:val="none"/>
        </w:rPr>
        <w:t>必须参加开标会议。</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2、开标程序：</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（1）开标由招标人主持；</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（2）由招标人检查投标文件的密封情况；</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（3）资格后审</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①资格后审活动由招标人或其委托的具备相应资格条件的招标代理机构组建的资格审查委员会组织实施。</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②资格审查委员会进入资格审查场所，开启投标人资格后审资料袋进行资格审查，</w:t>
      </w:r>
      <w:r>
        <w:rPr>
          <w:rFonts w:asciiTheme="minorEastAsia" w:hAnsiTheme="minorEastAsia" w:eastAsiaTheme="minorEastAsia"/>
          <w:color w:val="auto"/>
          <w:highlight w:val="none"/>
        </w:rPr>
        <w:t>审查其是否有能力和条件有效地履行合同义务</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如投标人未达到招标文件规定的能力和条件，</w:t>
      </w:r>
      <w:r>
        <w:rPr>
          <w:rFonts w:hint="eastAsia" w:asciiTheme="minorEastAsia" w:hAnsiTheme="minorEastAsia" w:eastAsiaTheme="minorEastAsia"/>
          <w:color w:val="auto"/>
          <w:highlight w:val="none"/>
        </w:rPr>
        <w:t>则认定资格审查不合格，不进入唱标；</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③在资格审查过程中，资格审查委员会根据资格审查需要，有权要求部分或全部投标申请人提供一项或多项或全部被审查资料的原件（确有特殊原因无法提供原件的，复印件必须经原发证部门确认）核对，投标申请人必须提供，不得借故推托或拖延。如无法提供招标人需要核对的原件，资格审查委员会应当按照资料缺项处理，资格审查不予通过；</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④在开标会议上当众宣布资格审查结果；</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r>
        <w:rPr>
          <w:rFonts w:asciiTheme="minorEastAsia" w:hAnsiTheme="minorEastAsia" w:eastAsiaTheme="minorEastAsia"/>
          <w:color w:val="auto"/>
          <w:highlight w:val="none"/>
        </w:rPr>
        <w:t>由有关工作人员当众拆封</w:t>
      </w:r>
      <w:r>
        <w:rPr>
          <w:rFonts w:hint="eastAsia" w:asciiTheme="minorEastAsia" w:hAnsiTheme="minorEastAsia" w:eastAsiaTheme="minorEastAsia"/>
          <w:color w:val="auto"/>
          <w:highlight w:val="none"/>
        </w:rPr>
        <w:t>经资格后审合格的投标人的投标文件</w:t>
      </w:r>
      <w:r>
        <w:rPr>
          <w:rFonts w:asciiTheme="minorEastAsia" w:hAnsiTheme="minorEastAsia" w:eastAsiaTheme="minorEastAsia"/>
          <w:color w:val="auto"/>
          <w:highlight w:val="none"/>
        </w:rPr>
        <w:t>，宣读投标人名称、投标价格和投标文件的其他主要内容；</w:t>
      </w:r>
      <w:r>
        <w:rPr>
          <w:rFonts w:hint="eastAsia" w:asciiTheme="minorEastAsia" w:hAnsiTheme="minorEastAsia" w:eastAsiaTheme="minorEastAsia"/>
          <w:color w:val="auto"/>
          <w:highlight w:val="none"/>
        </w:rPr>
        <w:t>资格审查不合格的投标申请人的投标文件不予开封，可原封退回。</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（5）经确认无误后，由有关工作人员当众拆封，宣读投标人名称、投标价格和投标文件的其他主要内容；</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（6）对开标过程进行记录，并存档备查。</w:t>
      </w:r>
    </w:p>
    <w:p>
      <w:pPr>
        <w:pStyle w:val="10"/>
        <w:rPr>
          <w:color w:val="auto"/>
          <w:highlight w:val="none"/>
        </w:rPr>
      </w:pPr>
      <w:bookmarkStart w:id="242" w:name="_Toc135743352"/>
      <w:bookmarkStart w:id="243" w:name="_Toc20947"/>
      <w:bookmarkStart w:id="244" w:name="_Toc12233"/>
      <w:bookmarkStart w:id="245" w:name="_Toc23397"/>
      <w:bookmarkStart w:id="246" w:name="_Toc29213"/>
      <w:bookmarkStart w:id="247" w:name="_Toc9781"/>
      <w:bookmarkStart w:id="248" w:name="_Toc14482"/>
      <w:bookmarkStart w:id="249" w:name="_Toc27568"/>
      <w:bookmarkStart w:id="250" w:name="_Toc16895"/>
      <w:bookmarkStart w:id="251" w:name="_Toc12615"/>
      <w:bookmarkStart w:id="252" w:name="_Toc10765"/>
      <w:r>
        <w:rPr>
          <w:rFonts w:hint="eastAsia"/>
          <w:color w:val="auto"/>
          <w:highlight w:val="none"/>
        </w:rPr>
        <w:t>（二）无效投标文件说明</w:t>
      </w:r>
      <w:bookmarkEnd w:id="242"/>
      <w:bookmarkEnd w:id="243"/>
      <w:bookmarkEnd w:id="244"/>
      <w:bookmarkEnd w:id="245"/>
      <w:bookmarkEnd w:id="246"/>
      <w:bookmarkEnd w:id="247"/>
      <w:bookmarkEnd w:id="248"/>
      <w:bookmarkEnd w:id="249"/>
      <w:bookmarkEnd w:id="250"/>
      <w:bookmarkEnd w:id="251"/>
      <w:bookmarkEnd w:id="252"/>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投标文件出现下列情况之一的，将作为无效投标文件，无效投标文件不参加评审。</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1、投标文件有关内容未按</w:t>
      </w:r>
      <w:r>
        <w:rPr>
          <w:rFonts w:asciiTheme="minorEastAsia" w:hAnsiTheme="minorEastAsia" w:eastAsiaTheme="minorEastAsia"/>
          <w:bCs/>
          <w:color w:val="auto"/>
          <w:highlight w:val="none"/>
        </w:rPr>
        <w:t>招标要求</w:t>
      </w:r>
      <w:r>
        <w:rPr>
          <w:rFonts w:hint="eastAsia" w:asciiTheme="minorEastAsia" w:hAnsiTheme="minorEastAsia" w:eastAsiaTheme="minorEastAsia"/>
          <w:bCs/>
          <w:color w:val="auto"/>
          <w:highlight w:val="none"/>
        </w:rPr>
        <w:t>规定加盖投标人的公章和法定代表人印章</w:t>
      </w:r>
      <w:r>
        <w:rPr>
          <w:rFonts w:asciiTheme="minorEastAsia" w:hAnsiTheme="minorEastAsia" w:eastAsiaTheme="minorEastAsia"/>
          <w:bCs/>
          <w:color w:val="auto"/>
          <w:highlight w:val="none"/>
        </w:rPr>
        <w:t>或签证</w:t>
      </w:r>
      <w:r>
        <w:rPr>
          <w:rFonts w:hint="eastAsia" w:asciiTheme="minorEastAsia" w:hAnsiTheme="minorEastAsia" w:eastAsiaTheme="minorEastAsia"/>
          <w:bCs/>
          <w:color w:val="auto"/>
          <w:highlight w:val="none"/>
        </w:rPr>
        <w:t>的</w:t>
      </w:r>
      <w:r>
        <w:rPr>
          <w:rFonts w:asciiTheme="minorEastAsia" w:hAnsiTheme="minorEastAsia" w:eastAsiaTheme="minorEastAsia"/>
          <w:bCs/>
          <w:color w:val="auto"/>
          <w:highlight w:val="none"/>
        </w:rPr>
        <w:t>；</w:t>
      </w:r>
      <w:r>
        <w:rPr>
          <w:rFonts w:hint="eastAsia" w:asciiTheme="minorEastAsia" w:hAnsiTheme="minorEastAsia" w:eastAsiaTheme="minorEastAsia"/>
          <w:bCs/>
          <w:color w:val="auto"/>
          <w:highlight w:val="none"/>
        </w:rPr>
        <w:t>由委托代理人盖章</w:t>
      </w:r>
      <w:r>
        <w:rPr>
          <w:rFonts w:asciiTheme="minorEastAsia" w:hAnsiTheme="minorEastAsia" w:eastAsiaTheme="minorEastAsia"/>
          <w:bCs/>
          <w:color w:val="auto"/>
          <w:highlight w:val="none"/>
        </w:rPr>
        <w:t>或签字</w:t>
      </w:r>
      <w:r>
        <w:rPr>
          <w:rFonts w:hint="eastAsia" w:asciiTheme="minorEastAsia" w:hAnsiTheme="minorEastAsia" w:eastAsiaTheme="minorEastAsia"/>
          <w:bCs/>
          <w:color w:val="auto"/>
          <w:highlight w:val="none"/>
        </w:rPr>
        <w:t>但未随投标文件一起提交合法、有效的“投标文件签署授权委托书”原件的；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2、未按招标文件规定的格式填写，内容不全或关键字迹模糊、无法辨认的；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3、未按招标文件要求提供相关证书、资料原件备查或提供不全的；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4、投标人递交两份或多份内容不同的投标文件，或在一份投标文件中对同一招标项目报有两个或多个报价，且未声明哪一个有效，按招标文件规定提交备选投标方案的除外，多个标段同时投标时，投标文件错装、混装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5、投标人资格条件不符合国家有关规定或招标文件要求的；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6、投标文件载明的供货期限超过招标文件规定期限的；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7、明显不符合技术规范、技术标准要求或检测报告结论为不合格的；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8、不同投标人的投标文件出现了评标委员会认为不应当雷同的情况；</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9、改变招标文件提供的供货清单中的计量单位、供货数量的；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10、投标文件载明的货物包装方式、检验标准和方法等不符合招标文件的要求；</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11、投标文件提出了不能满足招标文件要求或招标人不能接受的工程验收、计量、价款结算支付办法；</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12、以他人的名义投标、串通投标、以行贿手段谋取中标或者以其他弄虚作假方式投标的；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13、投标报价大于最高限价的：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14、经评标委员会认定投标人的投标报价低于成本价的；</w:t>
      </w:r>
    </w:p>
    <w:p>
      <w:pPr>
        <w:ind w:firstLine="480" w:firstLineChars="200"/>
        <w:rPr>
          <w:bCs/>
          <w:color w:val="auto"/>
          <w:sz w:val="28"/>
          <w:highlight w:val="none"/>
        </w:rPr>
      </w:pPr>
      <w:r>
        <w:rPr>
          <w:rFonts w:hint="eastAsia" w:asciiTheme="minorEastAsia" w:hAnsiTheme="minorEastAsia" w:eastAsiaTheme="minorEastAsia"/>
          <w:bCs/>
          <w:color w:val="auto"/>
          <w:highlight w:val="none"/>
        </w:rPr>
        <w:t>1</w:t>
      </w:r>
      <w:r>
        <w:rPr>
          <w:rFonts w:asciiTheme="minorEastAsia" w:hAnsiTheme="minorEastAsia" w:eastAsiaTheme="minorEastAsia"/>
          <w:bCs/>
          <w:color w:val="auto"/>
          <w:highlight w:val="none"/>
        </w:rPr>
        <w:t>5</w:t>
      </w:r>
      <w:r>
        <w:rPr>
          <w:rFonts w:hint="eastAsia" w:asciiTheme="minorEastAsia" w:hAnsiTheme="minorEastAsia" w:eastAsiaTheme="minorEastAsia"/>
          <w:bCs/>
          <w:color w:val="auto"/>
          <w:highlight w:val="none"/>
        </w:rPr>
        <w:t>、投标文件组成内容不符合本</w:t>
      </w:r>
      <w:r>
        <w:rPr>
          <w:rFonts w:asciiTheme="minorEastAsia" w:hAnsiTheme="minorEastAsia" w:eastAsiaTheme="minorEastAsia"/>
          <w:bCs/>
          <w:color w:val="auto"/>
          <w:highlight w:val="none"/>
        </w:rPr>
        <w:t>招标文件</w:t>
      </w:r>
      <w:r>
        <w:rPr>
          <w:rFonts w:hint="eastAsia" w:asciiTheme="minorEastAsia" w:hAnsiTheme="minorEastAsia" w:eastAsiaTheme="minorEastAsia"/>
          <w:bCs/>
          <w:color w:val="auto"/>
          <w:highlight w:val="none"/>
        </w:rPr>
        <w:t>规定的；</w:t>
      </w:r>
    </w:p>
    <w:p>
      <w:pPr>
        <w:pStyle w:val="10"/>
        <w:rPr>
          <w:color w:val="auto"/>
          <w:highlight w:val="none"/>
        </w:rPr>
      </w:pPr>
      <w:bookmarkStart w:id="253" w:name="_Toc29146"/>
      <w:bookmarkStart w:id="254" w:name="_Toc14293"/>
      <w:bookmarkStart w:id="255" w:name="_Toc18303"/>
      <w:bookmarkStart w:id="256" w:name="_Toc30314"/>
      <w:bookmarkStart w:id="257" w:name="_Toc17354"/>
      <w:bookmarkStart w:id="258" w:name="_Toc417"/>
      <w:bookmarkStart w:id="259" w:name="_Toc7884"/>
      <w:bookmarkStart w:id="260" w:name="_Toc26029"/>
      <w:bookmarkStart w:id="261" w:name="_Toc13806"/>
      <w:bookmarkStart w:id="262" w:name="_Toc16231"/>
      <w:bookmarkStart w:id="263" w:name="_Toc135743353"/>
      <w:r>
        <w:rPr>
          <w:rFonts w:hint="eastAsia"/>
          <w:color w:val="auto"/>
          <w:highlight w:val="none"/>
        </w:rPr>
        <w:t>（三）评标</w:t>
      </w:r>
      <w:bookmarkEnd w:id="253"/>
      <w:bookmarkEnd w:id="254"/>
      <w:bookmarkEnd w:id="255"/>
      <w:bookmarkEnd w:id="256"/>
      <w:bookmarkEnd w:id="257"/>
      <w:bookmarkEnd w:id="258"/>
      <w:bookmarkEnd w:id="259"/>
      <w:bookmarkEnd w:id="260"/>
      <w:bookmarkEnd w:id="261"/>
      <w:bookmarkEnd w:id="262"/>
      <w:bookmarkEnd w:id="263"/>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1、评标委员会由招标人依法组建，负责评标活动。</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2、下列人员不得参加本招标项目的评标委员会，已参加的应主动提出回避：</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（1）除法定回避情形外，评标委员会成员近三年内在参与竞标的投标单位工作过、兼职、担任顾问或者与其有投资关系的；</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（2）为本招标项目提供咨询服务的相关人员。</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3、投标文件的评审</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（1）根据招标公告和招标文件的要求，在评标前对投标人的资格进行审查，审查是否有能力和条件有效地履行合同义务，如投标人未达到招标文件规定的能力和条件，其投标将被拒绝，不进行商务标的评审。</w:t>
      </w:r>
    </w:p>
    <w:p>
      <w:pPr>
        <w:tabs>
          <w:tab w:val="left" w:pos="900"/>
        </w:tabs>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（2）评标委员会将首先评定每份投标文件是否实质上响应了招标文件的要求。所谓实质上响应，是指投标文件应与招标文件的所有实质性条款、条件和要求相符，无显著差异和保留。</w:t>
      </w:r>
    </w:p>
    <w:p>
      <w:pPr>
        <w:ind w:firstLine="480" w:firstLineChars="200"/>
        <w:rPr>
          <w:color w:val="auto"/>
          <w:sz w:val="28"/>
          <w:szCs w:val="28"/>
          <w:highlight w:val="none"/>
        </w:rPr>
      </w:pPr>
      <w:r>
        <w:rPr>
          <w:rFonts w:hint="eastAsia" w:asciiTheme="minorEastAsia" w:hAnsiTheme="minorEastAsia" w:eastAsiaTheme="minorEastAsia"/>
          <w:color w:val="auto"/>
          <w:highlight w:val="none"/>
        </w:rPr>
        <w:t>（3）对实质上响应招标文件要求的投标文件进行校核、修正，修正的原则如下：正本与副本不一致时，以正本为准：文字与图表不符时，以文字为准；单价与数量的乘积与合价不一致时，以单价为准，并调整总价。</w:t>
      </w:r>
    </w:p>
    <w:p>
      <w:pPr>
        <w:pStyle w:val="10"/>
        <w:rPr>
          <w:color w:val="auto"/>
          <w:highlight w:val="none"/>
        </w:rPr>
      </w:pPr>
      <w:bookmarkStart w:id="264" w:name="_Toc19367"/>
      <w:bookmarkStart w:id="265" w:name="_Toc1981"/>
      <w:bookmarkStart w:id="266" w:name="_Toc3761"/>
      <w:bookmarkStart w:id="267" w:name="_Toc21777"/>
      <w:bookmarkStart w:id="268" w:name="_Toc12970"/>
      <w:bookmarkStart w:id="269" w:name="_Toc135743354"/>
      <w:bookmarkStart w:id="270" w:name="_Toc3592"/>
      <w:bookmarkStart w:id="271" w:name="_Toc28704"/>
      <w:bookmarkStart w:id="272" w:name="_Toc8163"/>
      <w:bookmarkStart w:id="273" w:name="_Toc7690"/>
      <w:bookmarkStart w:id="274" w:name="_Toc600"/>
      <w:r>
        <w:rPr>
          <w:rFonts w:hint="eastAsia"/>
          <w:color w:val="auto"/>
          <w:highlight w:val="none"/>
        </w:rPr>
        <w:t>（四）投标文件的澄清</w:t>
      </w:r>
      <w:bookmarkEnd w:id="264"/>
      <w:bookmarkEnd w:id="265"/>
      <w:bookmarkEnd w:id="266"/>
      <w:bookmarkEnd w:id="267"/>
      <w:bookmarkEnd w:id="268"/>
      <w:bookmarkEnd w:id="269"/>
      <w:bookmarkEnd w:id="270"/>
      <w:bookmarkEnd w:id="271"/>
      <w:bookmarkEnd w:id="272"/>
      <w:bookmarkEnd w:id="273"/>
      <w:bookmarkEnd w:id="274"/>
    </w:p>
    <w:p>
      <w:pPr>
        <w:ind w:firstLine="480" w:firstLineChars="200"/>
        <w:rPr>
          <w:color w:val="auto"/>
          <w:highlight w:val="none"/>
        </w:rPr>
      </w:pPr>
      <w:r>
        <w:rPr>
          <w:rFonts w:hint="eastAsia"/>
          <w:color w:val="auto"/>
          <w:highlight w:val="none"/>
        </w:rPr>
        <w:t>为有助于投标文件的审查、评价和比较，评标委员会可以书面形式要求投标人对投标文件含义不明确的内容作出必要的澄清或说明，投标人应采用书面形式进行澄清或说明，但不得超出投标文件的范围或改变投标文件的实质性内容。根据本</w:t>
      </w:r>
      <w:r>
        <w:rPr>
          <w:color w:val="auto"/>
          <w:highlight w:val="none"/>
        </w:rPr>
        <w:t>招标文件</w:t>
      </w:r>
      <w:r>
        <w:rPr>
          <w:rFonts w:hint="eastAsia"/>
          <w:color w:val="auto"/>
          <w:highlight w:val="none"/>
        </w:rPr>
        <w:t>规定，凡属于评标委员会在评标过程中发现的计算错误进行核实的修改不在此列。</w:t>
      </w:r>
    </w:p>
    <w:p>
      <w:pPr>
        <w:pStyle w:val="10"/>
        <w:rPr>
          <w:color w:val="auto"/>
          <w:highlight w:val="none"/>
        </w:rPr>
      </w:pPr>
      <w:bookmarkStart w:id="275" w:name="_Toc30180"/>
      <w:bookmarkStart w:id="276" w:name="_Toc135743355"/>
      <w:bookmarkStart w:id="277" w:name="_Toc28407"/>
      <w:bookmarkStart w:id="278" w:name="_Toc11073"/>
      <w:bookmarkStart w:id="279" w:name="_Toc2274"/>
      <w:bookmarkStart w:id="280" w:name="_Toc7943"/>
      <w:bookmarkStart w:id="281" w:name="_Toc6217"/>
      <w:bookmarkStart w:id="282" w:name="_Toc15023"/>
      <w:bookmarkStart w:id="283" w:name="_Toc30558"/>
      <w:bookmarkStart w:id="284" w:name="_Toc758"/>
      <w:bookmarkStart w:id="285" w:name="_Toc27869"/>
      <w:r>
        <w:rPr>
          <w:rFonts w:hint="eastAsia"/>
          <w:color w:val="auto"/>
          <w:highlight w:val="none"/>
        </w:rPr>
        <w:t>（五）定标办法</w:t>
      </w:r>
      <w:bookmarkEnd w:id="275"/>
      <w:bookmarkEnd w:id="276"/>
      <w:bookmarkEnd w:id="277"/>
      <w:bookmarkEnd w:id="278"/>
      <w:bookmarkEnd w:id="279"/>
      <w:bookmarkEnd w:id="280"/>
      <w:bookmarkEnd w:id="281"/>
      <w:bookmarkEnd w:id="282"/>
      <w:bookmarkEnd w:id="283"/>
      <w:bookmarkEnd w:id="284"/>
      <w:bookmarkEnd w:id="285"/>
    </w:p>
    <w:p>
      <w:pPr>
        <w:ind w:firstLine="480" w:firstLineChars="200"/>
        <w:rPr>
          <w:color w:val="auto"/>
          <w:highlight w:val="none"/>
        </w:rPr>
      </w:pPr>
      <w:r>
        <w:rPr>
          <w:rFonts w:hint="eastAsia"/>
          <w:color w:val="auto"/>
          <w:highlight w:val="none"/>
        </w:rPr>
        <w:t>1、本招标项目采取经评审的最低投标价法：标委员会对经初步评审合格的投标文件，取投标报价最低的进行评审，并按报价由低到高的顺序，</w:t>
      </w:r>
      <w:r>
        <w:rPr>
          <w:color w:val="auto"/>
          <w:highlight w:val="none"/>
        </w:rPr>
        <w:t>并标明排列顺序，排名第一的中标候选人为中标人。排名第一的中标候选人放弃中标、因不可抗力提出不能履行合同，招标人可以确定排名第二的中标候选人为中标人。排名第二的中标候选人因上述同样原因不能签订合同的，招标人可以确定排名第三的中标候选人为中标人。</w:t>
      </w:r>
      <w:r>
        <w:rPr>
          <w:rFonts w:hint="eastAsia"/>
          <w:color w:val="auto"/>
          <w:highlight w:val="none"/>
        </w:rPr>
        <w:t>若出现相同最低报价，则由报价相同投标人在现场竞价，直至确定出一个最低价为中标人。</w:t>
      </w:r>
    </w:p>
    <w:p>
      <w:pPr>
        <w:ind w:firstLine="480" w:firstLineChars="200"/>
        <w:rPr>
          <w:color w:val="auto"/>
          <w:highlight w:val="none"/>
        </w:rPr>
      </w:pPr>
      <w:r>
        <w:rPr>
          <w:rFonts w:hint="eastAsia"/>
          <w:color w:val="auto"/>
          <w:highlight w:val="none"/>
        </w:rPr>
        <w:t>2、当中标人放弃中标，招标人将通过合法程序重新确定中标人。</w:t>
      </w:r>
    </w:p>
    <w:p>
      <w:pPr>
        <w:ind w:firstLine="480" w:firstLineChars="200"/>
        <w:rPr>
          <w:color w:val="auto"/>
          <w:highlight w:val="none"/>
        </w:rPr>
      </w:pPr>
      <w:r>
        <w:rPr>
          <w:rFonts w:hint="eastAsia"/>
          <w:color w:val="auto"/>
          <w:highlight w:val="none"/>
        </w:rPr>
        <w:t>3、评标委员会经评审，认为所有投标都不符合要求或因有效投标不足三个，使得投标明显缺乏竞争时，可以否决全部投标。所有投标被否决，招标人依法重新组织招标。</w:t>
      </w:r>
    </w:p>
    <w:p>
      <w:pPr>
        <w:pStyle w:val="10"/>
        <w:rPr>
          <w:color w:val="auto"/>
          <w:highlight w:val="none"/>
        </w:rPr>
      </w:pPr>
      <w:bookmarkStart w:id="286" w:name="_Toc1995"/>
      <w:bookmarkStart w:id="287" w:name="_Toc135743356"/>
      <w:bookmarkStart w:id="288" w:name="_Toc32728"/>
      <w:bookmarkStart w:id="289" w:name="_Toc29751"/>
      <w:bookmarkStart w:id="290" w:name="_Toc23702"/>
      <w:bookmarkStart w:id="291" w:name="_Toc22212"/>
      <w:bookmarkStart w:id="292" w:name="_Toc17409"/>
      <w:bookmarkStart w:id="293" w:name="_Toc13761"/>
      <w:bookmarkStart w:id="294" w:name="_Toc15045"/>
      <w:bookmarkStart w:id="295" w:name="_Toc10085"/>
      <w:bookmarkStart w:id="296" w:name="_Toc22978"/>
      <w:r>
        <w:rPr>
          <w:rFonts w:hint="eastAsia"/>
          <w:color w:val="auto"/>
          <w:highlight w:val="none"/>
        </w:rPr>
        <w:t>（六）未中标解释</w:t>
      </w:r>
      <w:bookmarkEnd w:id="286"/>
      <w:bookmarkEnd w:id="287"/>
      <w:bookmarkEnd w:id="288"/>
      <w:bookmarkEnd w:id="289"/>
      <w:bookmarkEnd w:id="290"/>
      <w:bookmarkEnd w:id="291"/>
      <w:bookmarkEnd w:id="292"/>
      <w:bookmarkEnd w:id="293"/>
      <w:bookmarkEnd w:id="294"/>
      <w:bookmarkEnd w:id="295"/>
      <w:bookmarkEnd w:id="296"/>
    </w:p>
    <w:p>
      <w:pPr>
        <w:ind w:firstLine="480" w:firstLineChars="200"/>
        <w:rPr>
          <w:color w:val="auto"/>
          <w:highlight w:val="none"/>
        </w:rPr>
      </w:pPr>
      <w:r>
        <w:rPr>
          <w:rFonts w:hint="eastAsia"/>
          <w:color w:val="auto"/>
          <w:highlight w:val="none"/>
        </w:rPr>
        <w:t>中标人确定后，招标人不对未中标人就评标过程以及未能中标原因作出任何解释。</w:t>
      </w:r>
    </w:p>
    <w:p>
      <w:pPr>
        <w:pStyle w:val="10"/>
        <w:rPr>
          <w:color w:val="auto"/>
          <w:highlight w:val="none"/>
        </w:rPr>
      </w:pPr>
      <w:bookmarkStart w:id="297" w:name="_Toc5611"/>
      <w:bookmarkStart w:id="298" w:name="_Toc6884"/>
      <w:bookmarkStart w:id="299" w:name="_Toc1133"/>
      <w:bookmarkStart w:id="300" w:name="_Toc135743357"/>
      <w:bookmarkStart w:id="301" w:name="_Toc22018"/>
      <w:bookmarkStart w:id="302" w:name="_Toc21532"/>
      <w:bookmarkStart w:id="303" w:name="_Toc23536"/>
      <w:bookmarkStart w:id="304" w:name="_Toc16833"/>
      <w:bookmarkStart w:id="305" w:name="_Toc30799"/>
      <w:bookmarkStart w:id="306" w:name="_Toc8338"/>
      <w:bookmarkStart w:id="307" w:name="_Toc21489"/>
      <w:r>
        <w:rPr>
          <w:rFonts w:hint="eastAsia"/>
          <w:color w:val="auto"/>
          <w:highlight w:val="none"/>
        </w:rPr>
        <w:t>（七）取消中标资格的情况</w:t>
      </w:r>
      <w:bookmarkEnd w:id="297"/>
      <w:bookmarkEnd w:id="298"/>
      <w:bookmarkEnd w:id="299"/>
      <w:bookmarkEnd w:id="300"/>
      <w:bookmarkEnd w:id="301"/>
      <w:bookmarkEnd w:id="302"/>
      <w:bookmarkEnd w:id="303"/>
      <w:bookmarkEnd w:id="304"/>
      <w:bookmarkEnd w:id="305"/>
      <w:bookmarkEnd w:id="306"/>
      <w:bookmarkEnd w:id="307"/>
    </w:p>
    <w:p>
      <w:pPr>
        <w:tabs>
          <w:tab w:val="left" w:pos="1080"/>
        </w:tabs>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招标人将会同有关部门人员对中标候选人进行全面考察，在考察过程中如出现下列情形之一的，将取消中标资格：</w:t>
      </w:r>
    </w:p>
    <w:p>
      <w:pPr>
        <w:tabs>
          <w:tab w:val="left" w:pos="1080"/>
        </w:tabs>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1、中标候选人允许他人挂靠或借用他人名义参加投标的；</w:t>
      </w:r>
    </w:p>
    <w:p>
      <w:pPr>
        <w:tabs>
          <w:tab w:val="left" w:pos="1080"/>
        </w:tabs>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2、中标候选人提供虚假证明材料、或者要求中标候选人出具相关证书、资料原件核查，中标候选人拒不出具的；</w:t>
      </w:r>
    </w:p>
    <w:p>
      <w:pPr>
        <w:tabs>
          <w:tab w:val="left" w:pos="1080"/>
        </w:tabs>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3、违反法律、法规禁止的其他情形的。</w:t>
      </w:r>
    </w:p>
    <w:p>
      <w:pPr>
        <w:tabs>
          <w:tab w:val="left" w:pos="1080"/>
        </w:tabs>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投标人在投标有效期内撤回投标文件，招标人</w:t>
      </w:r>
      <w:r>
        <w:rPr>
          <w:rFonts w:asciiTheme="minorEastAsia" w:hAnsiTheme="minorEastAsia" w:eastAsiaTheme="minorEastAsia"/>
          <w:bCs/>
          <w:color w:val="auto"/>
          <w:highlight w:val="none"/>
        </w:rPr>
        <w:t>有权拒绝投标人后续相关投标申请</w:t>
      </w:r>
      <w:r>
        <w:rPr>
          <w:rFonts w:hint="eastAsia" w:asciiTheme="minorEastAsia" w:hAnsiTheme="minorEastAsia" w:eastAsiaTheme="minorEastAsia"/>
          <w:bCs/>
          <w:color w:val="auto"/>
          <w:highlight w:val="none"/>
        </w:rPr>
        <w:t>。中标通知书发出后，除不可抗力情况外，中标人出现下列情形之一的，招标人必须取消其中标资格：</w:t>
      </w:r>
    </w:p>
    <w:p>
      <w:pPr>
        <w:tabs>
          <w:tab w:val="left" w:pos="1080"/>
        </w:tabs>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1、放弃中标项目的；</w:t>
      </w:r>
    </w:p>
    <w:p>
      <w:pPr>
        <w:tabs>
          <w:tab w:val="left" w:pos="1080"/>
        </w:tabs>
        <w:ind w:firstLine="480" w:firstLineChars="200"/>
        <w:rPr>
          <w:rFonts w:asciiTheme="minorEastAsia" w:hAnsiTheme="minorEastAsia" w:eastAsiaTheme="minorEastAsia"/>
          <w:bCs/>
          <w:color w:val="auto"/>
          <w:highlight w:val="none"/>
        </w:rPr>
      </w:pPr>
      <w:r>
        <w:rPr>
          <w:rFonts w:asciiTheme="minorEastAsia" w:hAnsiTheme="minorEastAsia" w:eastAsiaTheme="minorEastAsia"/>
          <w:bCs/>
          <w:color w:val="auto"/>
          <w:highlight w:val="none"/>
        </w:rPr>
        <w:t>2</w:t>
      </w:r>
      <w:r>
        <w:rPr>
          <w:rFonts w:hint="eastAsia" w:asciiTheme="minorEastAsia" w:hAnsiTheme="minorEastAsia" w:eastAsiaTheme="minorEastAsia"/>
          <w:bCs/>
          <w:color w:val="auto"/>
          <w:highlight w:val="none"/>
        </w:rPr>
        <w:t>、不与招标人签订合同的，或者在签订合同时向招标人提出附加条件或者更改合同实质性内容要求的；</w:t>
      </w:r>
    </w:p>
    <w:p>
      <w:pPr>
        <w:tabs>
          <w:tab w:val="left" w:pos="1080"/>
        </w:tabs>
        <w:ind w:firstLine="480" w:firstLineChars="200"/>
        <w:rPr>
          <w:rFonts w:asciiTheme="minorEastAsia" w:hAnsiTheme="minorEastAsia" w:eastAsiaTheme="minorEastAsia"/>
          <w:bCs/>
          <w:color w:val="auto"/>
          <w:highlight w:val="none"/>
        </w:rPr>
      </w:pPr>
      <w:r>
        <w:rPr>
          <w:rFonts w:asciiTheme="minorEastAsia" w:hAnsiTheme="minorEastAsia" w:eastAsiaTheme="minorEastAsia"/>
          <w:bCs/>
          <w:color w:val="auto"/>
          <w:highlight w:val="none"/>
        </w:rPr>
        <w:t>3</w:t>
      </w:r>
      <w:r>
        <w:rPr>
          <w:rFonts w:hint="eastAsia" w:asciiTheme="minorEastAsia" w:hAnsiTheme="minorEastAsia" w:eastAsiaTheme="minorEastAsia"/>
          <w:bCs/>
          <w:color w:val="auto"/>
          <w:highlight w:val="none"/>
        </w:rPr>
        <w:t>、中标人因资金、技术、工期等非不可抗力原因放弃中标的。</w:t>
      </w:r>
    </w:p>
    <w:p>
      <w:pPr>
        <w:ind w:firstLine="480" w:firstLineChars="200"/>
        <w:rPr>
          <w:rFonts w:asciiTheme="minorEastAsia" w:hAnsiTheme="minorEastAsia" w:eastAsiaTheme="minorEastAsia"/>
          <w:bCs/>
          <w:color w:val="auto"/>
          <w:highlight w:val="none"/>
        </w:rPr>
      </w:pPr>
      <w:r>
        <w:rPr>
          <w:rFonts w:hint="eastAsia" w:asciiTheme="minorEastAsia" w:hAnsiTheme="minorEastAsia" w:eastAsiaTheme="minorEastAsia"/>
          <w:bCs/>
          <w:color w:val="auto"/>
          <w:highlight w:val="none"/>
        </w:rPr>
        <w:t>投标人（中标人）存在前款所述情形的，招标投标行政监督部门将其记入不良行为记录，在一年内其它国有资金投资项目招标人可以据此不接受其投标。</w:t>
      </w:r>
    </w:p>
    <w:p>
      <w:pPr>
        <w:pStyle w:val="10"/>
        <w:rPr>
          <w:color w:val="auto"/>
          <w:highlight w:val="none"/>
        </w:rPr>
      </w:pPr>
      <w:bookmarkStart w:id="308" w:name="_Toc20370"/>
      <w:bookmarkStart w:id="309" w:name="_Toc135743358"/>
      <w:bookmarkStart w:id="310" w:name="_Toc17281"/>
      <w:bookmarkStart w:id="311" w:name="_Toc18960"/>
      <w:bookmarkStart w:id="312" w:name="_Toc19633"/>
      <w:bookmarkStart w:id="313" w:name="_Toc18734"/>
      <w:bookmarkStart w:id="314" w:name="_Toc3681"/>
      <w:bookmarkStart w:id="315" w:name="_Toc18412"/>
      <w:bookmarkStart w:id="316" w:name="_Toc30493"/>
      <w:bookmarkStart w:id="317" w:name="_Toc19883"/>
      <w:bookmarkStart w:id="318" w:name="_Toc18866"/>
      <w:r>
        <w:rPr>
          <w:rFonts w:hint="eastAsia"/>
          <w:color w:val="auto"/>
          <w:highlight w:val="none"/>
        </w:rPr>
        <w:t>（八）投诉</w:t>
      </w:r>
      <w:bookmarkEnd w:id="308"/>
      <w:bookmarkEnd w:id="309"/>
      <w:bookmarkEnd w:id="310"/>
      <w:bookmarkEnd w:id="311"/>
      <w:bookmarkEnd w:id="312"/>
      <w:bookmarkEnd w:id="313"/>
      <w:bookmarkEnd w:id="314"/>
      <w:bookmarkEnd w:id="315"/>
      <w:bookmarkEnd w:id="316"/>
      <w:bookmarkEnd w:id="317"/>
      <w:bookmarkEnd w:id="318"/>
    </w:p>
    <w:p>
      <w:pPr>
        <w:ind w:firstLine="480" w:firstLineChars="200"/>
        <w:rPr>
          <w:bCs/>
          <w:color w:val="auto"/>
          <w:highlight w:val="none"/>
        </w:rPr>
      </w:pPr>
      <w:r>
        <w:rPr>
          <w:rFonts w:hint="eastAsia"/>
          <w:bCs/>
          <w:color w:val="auto"/>
          <w:highlight w:val="none"/>
        </w:rPr>
        <w:t>投标人或其他利害关系人认为资格预审文件、招标文件内容违法或不当的，应当在递交资格预审申请文件或投标文件的截止时间前提出异议；认为开标活动违法的，应当在开标现场提出异议；对招标人（招标代理）答复不满意或招标人（招标代理）在规定时间内未予答复的，投标人或者其他利害关系人可向招投标行政监督部门投诉。</w:t>
      </w:r>
    </w:p>
    <w:p>
      <w:pPr>
        <w:pStyle w:val="2"/>
        <w:jc w:val="center"/>
        <w:rPr>
          <w:color w:val="auto"/>
          <w:highlight w:val="none"/>
        </w:rPr>
      </w:pPr>
      <w:bookmarkStart w:id="319" w:name="_Toc27126"/>
      <w:bookmarkStart w:id="320" w:name="_Toc135743359"/>
      <w:bookmarkStart w:id="321" w:name="_Toc3311"/>
      <w:bookmarkStart w:id="322" w:name="_Toc24063"/>
      <w:bookmarkStart w:id="323" w:name="_Toc7074"/>
      <w:bookmarkStart w:id="324" w:name="_Toc30048"/>
      <w:bookmarkStart w:id="325" w:name="_Toc14351"/>
      <w:bookmarkStart w:id="326" w:name="_Toc20731"/>
      <w:bookmarkStart w:id="327" w:name="_Toc22883"/>
      <w:bookmarkStart w:id="328" w:name="_Toc25166"/>
      <w:bookmarkStart w:id="329" w:name="_Toc29185"/>
      <w:r>
        <w:rPr>
          <w:rFonts w:hint="eastAsia"/>
          <w:color w:val="auto"/>
          <w:highlight w:val="none"/>
        </w:rPr>
        <w:t>六、授 予 合 同</w:t>
      </w:r>
      <w:bookmarkEnd w:id="319"/>
      <w:bookmarkEnd w:id="320"/>
      <w:bookmarkEnd w:id="321"/>
      <w:bookmarkEnd w:id="322"/>
      <w:bookmarkEnd w:id="323"/>
      <w:bookmarkEnd w:id="324"/>
      <w:bookmarkEnd w:id="325"/>
      <w:bookmarkEnd w:id="326"/>
      <w:bookmarkEnd w:id="327"/>
      <w:bookmarkEnd w:id="328"/>
      <w:bookmarkEnd w:id="329"/>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定标后，招标人签发《中标通知书》</w:t>
      </w:r>
    </w:p>
    <w:p>
      <w:pPr>
        <w:ind w:firstLine="480" w:firstLineChars="200"/>
        <w:rPr>
          <w:rFonts w:asciiTheme="minorEastAsia" w:hAnsiTheme="minorEastAsia" w:eastAsiaTheme="minorEastAsia"/>
          <w:b/>
          <w:bCs/>
          <w:color w:val="auto"/>
          <w:highlight w:val="none"/>
        </w:rPr>
      </w:pPr>
      <w:r>
        <w:rPr>
          <w:rFonts w:hint="eastAsia" w:asciiTheme="minorEastAsia" w:hAnsiTheme="minorEastAsia" w:eastAsiaTheme="minorEastAsia"/>
          <w:color w:val="auto"/>
          <w:highlight w:val="none"/>
        </w:rPr>
        <w:t>办理《中标通知书》后，招标人根据《合同法》、投标文件、招标文件与中标人签订合同书，</w:t>
      </w:r>
      <w:r>
        <w:rPr>
          <w:rFonts w:hint="eastAsia" w:asciiTheme="minorEastAsia" w:hAnsiTheme="minorEastAsia" w:eastAsiaTheme="minorEastAsia"/>
          <w:b/>
          <w:bCs/>
          <w:color w:val="auto"/>
          <w:highlight w:val="none"/>
        </w:rPr>
        <w:t>超过7天不签合同的，视同自动放弃中标资格。</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如投标人中标后拒绝签订合同，招标人有权另行确定中标人，并由原中标人承担违约责任和一切后果。</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合同主要条款</w:t>
      </w:r>
    </w:p>
    <w:p>
      <w:pPr>
        <w:ind w:firstLine="48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w:t>
      </w:r>
      <w:r>
        <w:rPr>
          <w:rFonts w:hint="eastAsia" w:asciiTheme="minorEastAsia" w:hAnsiTheme="minorEastAsia" w:eastAsiaTheme="minorEastAsia"/>
          <w:bCs/>
          <w:color w:val="auto"/>
          <w:highlight w:val="none"/>
        </w:rPr>
        <w:t>付款方式</w:t>
      </w:r>
      <w:r>
        <w:rPr>
          <w:rFonts w:hint="eastAsia" w:asciiTheme="minorEastAsia" w:hAnsiTheme="minorEastAsia" w:eastAsiaTheme="minorEastAsia"/>
          <w:b/>
          <w:color w:val="auto"/>
          <w:highlight w:val="none"/>
        </w:rPr>
        <w:t>：</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合同签订后，进场前预付合同总额的30%，主设备进场后支付至合同总额的70%，施工结束验收合格付至合同总额的100%。</w:t>
      </w:r>
    </w:p>
    <w:p>
      <w:pPr>
        <w:ind w:firstLine="482" w:firstLineChars="200"/>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w:t>
      </w:r>
      <w:r>
        <w:rPr>
          <w:rFonts w:hint="eastAsia" w:asciiTheme="minorEastAsia" w:hAnsiTheme="minorEastAsia" w:eastAsiaTheme="minorEastAsia"/>
          <w:color w:val="auto"/>
          <w:highlight w:val="none"/>
        </w:rPr>
        <w:t>材料进场入库时必须有产品合格证和有权检测部门对该产品出具的检测报告，并应符合中标承诺的产品型号、品牌、规格和质量要求。安装还应符合国家现行施工验收规范和工程质量评定标准要求。</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3</w:t>
      </w:r>
      <w:r>
        <w:rPr>
          <w:rFonts w:hint="eastAsia" w:asciiTheme="minorEastAsia" w:hAnsiTheme="minorEastAsia" w:eastAsiaTheme="minorEastAsia"/>
          <w:color w:val="auto"/>
          <w:highlight w:val="none"/>
        </w:rPr>
        <w:t>、结算办法：各规格中标综合单价×实际供货数量。</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4</w:t>
      </w:r>
      <w:r>
        <w:rPr>
          <w:rFonts w:hint="eastAsia" w:asciiTheme="minorEastAsia" w:hAnsiTheme="minorEastAsia" w:eastAsiaTheme="minorEastAsia"/>
          <w:color w:val="auto"/>
          <w:highlight w:val="none"/>
        </w:rPr>
        <w:t>、售后服务要求：</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（1）质量保修期 一年，在免费保修时间内对所供货物进行保修，在保修期内，承包人不得收取任何费用；免费保修期满后，承包人对用户货物的维修，只收成本费，并提供终生技术服务。</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（2）免费进行控制软件升级及软件培训；</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（3）控制软件及产品需合法取得，任何涉及知识产权和设备非法获得的纠纷，均由中标人承担，与采购人无涉。</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（4）售后服务响应时间为24小时；所供货物发生故障时，须在24小时内到场维修，无法修复时</w:t>
      </w:r>
      <w:r>
        <w:rPr>
          <w:rFonts w:asciiTheme="minorEastAsia" w:hAnsiTheme="minorEastAsia" w:eastAsiaTheme="minorEastAsia"/>
          <w:color w:val="auto"/>
          <w:highlight w:val="none"/>
        </w:rPr>
        <w:t>3天内</w:t>
      </w:r>
      <w:r>
        <w:rPr>
          <w:rFonts w:hint="eastAsia" w:asciiTheme="minorEastAsia" w:hAnsiTheme="minorEastAsia" w:eastAsiaTheme="minorEastAsia"/>
          <w:color w:val="auto"/>
          <w:highlight w:val="none"/>
        </w:rPr>
        <w:t>内更换货物或配件，并保证所换货物或配件不低于原配置，如</w:t>
      </w:r>
      <w:r>
        <w:rPr>
          <w:rFonts w:asciiTheme="minorEastAsia" w:hAnsiTheme="minorEastAsia" w:eastAsiaTheme="minorEastAsia"/>
          <w:color w:val="auto"/>
          <w:highlight w:val="none"/>
        </w:rPr>
        <w:t>3天内</w:t>
      </w:r>
      <w:r>
        <w:rPr>
          <w:rFonts w:hint="eastAsia" w:asciiTheme="minorEastAsia" w:hAnsiTheme="minorEastAsia" w:eastAsiaTheme="minorEastAsia"/>
          <w:color w:val="auto"/>
          <w:highlight w:val="none"/>
        </w:rPr>
        <w:t>内不能到位的，发包人有权自行维修或更换设备。</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（5）所有货物免费送达发包人指定地点，货物的托运、安装及预装常用软件等，均不需另行付费。</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9、质量及验收方法</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发包人在交货时，货物的品牌型号必须与投标报价单保持一致，必须保证全新产品、品牌正宗，原始包装并附有合格证、产品安装使用说明书、包装清单等相关资料。特殊情况需要调整品牌型号数量的，必须经承包人、发包人协商同意后方可调整。</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（2）在安装调试完毕后的10日内，发包人对承包人所供货物的技术性能和参数等方面的问题有提出异议的权利。</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（3）验收方法：全部货物安装调试完毕后</w:t>
      </w:r>
      <w:r>
        <w:rPr>
          <w:rFonts w:hint="eastAsia" w:asciiTheme="minorEastAsia" w:hAnsiTheme="minorEastAsia" w:eastAsiaTheme="minorEastAsia"/>
          <w:color w:val="auto"/>
          <w:highlight w:val="none"/>
          <w:u w:val="single"/>
        </w:rPr>
        <w:t xml:space="preserve"> 7 </w:t>
      </w:r>
      <w:r>
        <w:rPr>
          <w:rFonts w:hint="eastAsia" w:asciiTheme="minorEastAsia" w:hAnsiTheme="minorEastAsia" w:eastAsiaTheme="minorEastAsia"/>
          <w:color w:val="auto"/>
          <w:highlight w:val="none"/>
        </w:rPr>
        <w:t>日内，由发包人按照招标文件的要求和现行技术标准、强制性标准对所供货物的技术性能、技术参数、安装质量等进行验收，并形成验收意见。</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10、货物运输及安装过程中安全责任由供货及安装方负责，与发包人无涉。</w:t>
      </w:r>
    </w:p>
    <w:p>
      <w:pPr>
        <w:ind w:firstLine="560" w:firstLineChars="200"/>
        <w:rPr>
          <w:color w:val="auto"/>
          <w:sz w:val="28"/>
          <w:highlight w:val="none"/>
        </w:rPr>
      </w:pPr>
    </w:p>
    <w:p>
      <w:pPr>
        <w:rPr>
          <w:color w:val="auto"/>
          <w:highlight w:val="none"/>
        </w:rPr>
      </w:pPr>
      <w:bookmarkStart w:id="330" w:name="_Toc11827"/>
      <w:bookmarkStart w:id="331" w:name="_Toc135743360"/>
      <w:bookmarkStart w:id="332" w:name="_Toc29451"/>
      <w:r>
        <w:rPr>
          <w:rFonts w:hint="eastAsia"/>
          <w:color w:val="auto"/>
          <w:highlight w:val="none"/>
        </w:rPr>
        <w:br w:type="page"/>
      </w:r>
    </w:p>
    <w:p>
      <w:pPr>
        <w:pStyle w:val="14"/>
        <w:rPr>
          <w:color w:val="auto"/>
          <w:highlight w:val="none"/>
        </w:rPr>
      </w:pPr>
      <w:bookmarkStart w:id="333" w:name="_Toc17837"/>
      <w:bookmarkStart w:id="334" w:name="_Toc31677"/>
      <w:bookmarkStart w:id="335" w:name="_Toc19402"/>
      <w:bookmarkStart w:id="336" w:name="_Toc28125"/>
      <w:bookmarkStart w:id="337" w:name="_Toc30894"/>
      <w:bookmarkStart w:id="338" w:name="_Toc12150"/>
      <w:bookmarkStart w:id="339" w:name="_Toc22362"/>
      <w:bookmarkStart w:id="340" w:name="_Toc25928"/>
      <w:r>
        <w:rPr>
          <w:rFonts w:hint="eastAsia"/>
          <w:color w:val="auto"/>
          <w:highlight w:val="none"/>
        </w:rPr>
        <w:t>第二章  显示屏技术参数</w:t>
      </w:r>
      <w:bookmarkEnd w:id="330"/>
      <w:bookmarkEnd w:id="331"/>
      <w:bookmarkEnd w:id="332"/>
      <w:bookmarkEnd w:id="333"/>
      <w:bookmarkEnd w:id="334"/>
      <w:bookmarkEnd w:id="335"/>
      <w:bookmarkEnd w:id="336"/>
      <w:bookmarkEnd w:id="337"/>
      <w:bookmarkEnd w:id="338"/>
      <w:bookmarkEnd w:id="339"/>
      <w:bookmarkEnd w:id="340"/>
    </w:p>
    <w:p>
      <w:pPr>
        <w:pStyle w:val="2"/>
        <w:rPr>
          <w:rFonts w:ascii="宋体" w:hAnsi="宋体"/>
          <w:color w:val="auto"/>
          <w:sz w:val="24"/>
          <w:szCs w:val="24"/>
          <w:highlight w:val="none"/>
        </w:rPr>
      </w:pPr>
      <w:bookmarkStart w:id="341" w:name="_Toc291071462"/>
      <w:bookmarkStart w:id="342" w:name="_Toc291071249"/>
      <w:bookmarkStart w:id="343" w:name="_Toc291071823"/>
      <w:bookmarkStart w:id="344" w:name="_Toc6478"/>
      <w:bookmarkStart w:id="345" w:name="_Toc3332"/>
      <w:bookmarkStart w:id="346" w:name="_Toc15008"/>
      <w:bookmarkStart w:id="347" w:name="_Toc135743361"/>
      <w:bookmarkStart w:id="348" w:name="_Toc32560"/>
      <w:bookmarkStart w:id="349" w:name="_Toc21889"/>
      <w:bookmarkStart w:id="350" w:name="_Toc19538"/>
      <w:bookmarkStart w:id="351" w:name="_Toc22493"/>
      <w:bookmarkStart w:id="352" w:name="_Toc30939"/>
      <w:bookmarkStart w:id="353" w:name="_Toc5242"/>
      <w:bookmarkStart w:id="354" w:name="_Toc9051"/>
      <w:r>
        <w:rPr>
          <w:rFonts w:hint="eastAsia"/>
          <w:color w:val="auto"/>
          <w:highlight w:val="none"/>
        </w:rPr>
        <w:t>一、室外全彩技术参数</w:t>
      </w:r>
      <w:bookmarkEnd w:id="341"/>
      <w:bookmarkEnd w:id="342"/>
      <w:bookmarkEnd w:id="343"/>
      <w:r>
        <w:rPr>
          <w:rFonts w:hint="eastAsia"/>
          <w:color w:val="auto"/>
          <w:highlight w:val="none"/>
        </w:rPr>
        <w:t>要求</w:t>
      </w:r>
      <w:bookmarkEnd w:id="344"/>
      <w:bookmarkEnd w:id="345"/>
      <w:bookmarkEnd w:id="346"/>
      <w:bookmarkEnd w:id="347"/>
      <w:bookmarkEnd w:id="348"/>
      <w:bookmarkEnd w:id="349"/>
      <w:bookmarkEnd w:id="350"/>
      <w:bookmarkEnd w:id="351"/>
      <w:bookmarkEnd w:id="352"/>
      <w:bookmarkEnd w:id="353"/>
      <w:bookmarkEnd w:id="354"/>
    </w:p>
    <w:p>
      <w:pPr>
        <w:pStyle w:val="10"/>
        <w:rPr>
          <w:color w:val="auto"/>
          <w:sz w:val="21"/>
          <w:szCs w:val="21"/>
          <w:highlight w:val="none"/>
        </w:rPr>
      </w:pPr>
      <w:bookmarkStart w:id="355" w:name="_Toc291071824"/>
      <w:bookmarkStart w:id="356" w:name="_Toc135743362"/>
      <w:bookmarkStart w:id="357" w:name="_Toc30261"/>
      <w:bookmarkStart w:id="358" w:name="_Toc11764"/>
      <w:bookmarkStart w:id="359" w:name="_Toc17896"/>
      <w:bookmarkStart w:id="360" w:name="_Toc291071463"/>
      <w:bookmarkStart w:id="361" w:name="_Toc19400"/>
      <w:bookmarkStart w:id="362" w:name="_Toc190770670"/>
      <w:bookmarkStart w:id="363" w:name="_Toc12162"/>
      <w:bookmarkStart w:id="364" w:name="_Toc4539"/>
      <w:bookmarkStart w:id="365" w:name="_Toc17064"/>
      <w:bookmarkStart w:id="366" w:name="_Toc291071250"/>
      <w:bookmarkStart w:id="367" w:name="_Toc13573"/>
      <w:bookmarkStart w:id="368" w:name="_Toc17202"/>
      <w:bookmarkStart w:id="369" w:name="_Toc20608"/>
      <w:bookmarkStart w:id="370" w:name="_Toc291075560"/>
      <w:r>
        <w:rPr>
          <w:color w:val="auto"/>
          <w:highlight w:val="none"/>
        </w:rPr>
        <w:t>1</w:t>
      </w:r>
      <w:r>
        <w:rPr>
          <w:rFonts w:hint="eastAsia"/>
          <w:color w:val="auto"/>
          <w:highlight w:val="none"/>
        </w:rPr>
        <w:t>．全彩</w:t>
      </w:r>
      <w:r>
        <w:rPr>
          <w:rFonts w:hint="eastAsia" w:ascii="宋体" w:hAnsi="宋体"/>
          <w:color w:val="auto"/>
          <w:highlight w:val="none"/>
        </w:rPr>
        <w:t>模组介绍</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tbl>
      <w:tblPr>
        <w:tblStyle w:val="1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04"/>
        <w:gridCol w:w="2329"/>
        <w:gridCol w:w="1701"/>
        <w:gridCol w:w="35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504" w:type="dxa"/>
            <w:tcBorders>
              <w:top w:val="single" w:color="auto" w:sz="8" w:space="0"/>
              <w:left w:val="thinThickSmallGap" w:color="auto" w:sz="18" w:space="0"/>
              <w:bottom w:val="single" w:color="auto" w:sz="8" w:space="0"/>
              <w:right w:val="single" w:color="auto" w:sz="8" w:space="0"/>
            </w:tcBorders>
            <w:vAlign w:val="bottom"/>
          </w:tcPr>
          <w:p>
            <w:pPr>
              <w:rPr>
                <w:color w:val="auto"/>
                <w:sz w:val="21"/>
                <w:szCs w:val="21"/>
                <w:highlight w:val="none"/>
              </w:rPr>
            </w:pPr>
            <w:r>
              <w:rPr>
                <w:rFonts w:hint="eastAsia"/>
                <w:color w:val="auto"/>
                <w:sz w:val="21"/>
                <w:szCs w:val="21"/>
                <w:highlight w:val="none"/>
              </w:rPr>
              <w:t>尺寸（</w:t>
            </w:r>
            <w:r>
              <w:rPr>
                <w:color w:val="auto"/>
                <w:sz w:val="21"/>
                <w:szCs w:val="21"/>
                <w:highlight w:val="none"/>
              </w:rPr>
              <w:t>W×H</w:t>
            </w:r>
            <w:r>
              <w:rPr>
                <w:rFonts w:hint="eastAsia"/>
                <w:color w:val="auto"/>
                <w:sz w:val="21"/>
                <w:szCs w:val="21"/>
                <w:highlight w:val="none"/>
              </w:rPr>
              <w:t>）</w:t>
            </w:r>
          </w:p>
        </w:tc>
        <w:tc>
          <w:tcPr>
            <w:tcW w:w="7612" w:type="dxa"/>
            <w:gridSpan w:val="3"/>
            <w:tcBorders>
              <w:top w:val="single" w:color="auto" w:sz="8" w:space="0"/>
              <w:left w:val="single" w:color="auto" w:sz="8" w:space="0"/>
              <w:bottom w:val="single" w:color="auto" w:sz="8" w:space="0"/>
              <w:right w:val="single" w:color="auto" w:sz="8" w:space="0"/>
            </w:tcBorders>
            <w:vAlign w:val="bottom"/>
          </w:tcPr>
          <w:p>
            <w:pPr>
              <w:rPr>
                <w:color w:val="auto"/>
                <w:sz w:val="21"/>
                <w:szCs w:val="21"/>
                <w:highlight w:val="none"/>
              </w:rPr>
            </w:pPr>
            <w:r>
              <w:rPr>
                <w:color w:val="auto"/>
                <w:sz w:val="21"/>
                <w:szCs w:val="21"/>
                <w:highlight w:val="none"/>
              </w:rPr>
              <w:t>320mm×160mm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504" w:type="dxa"/>
            <w:tcBorders>
              <w:top w:val="single" w:color="auto" w:sz="8" w:space="0"/>
              <w:left w:val="thinThickSmallGap" w:color="auto" w:sz="18" w:space="0"/>
              <w:bottom w:val="single" w:color="auto" w:sz="8" w:space="0"/>
              <w:right w:val="single" w:color="auto" w:sz="8" w:space="0"/>
            </w:tcBorders>
            <w:vAlign w:val="bottom"/>
          </w:tcPr>
          <w:p>
            <w:pPr>
              <w:rPr>
                <w:color w:val="auto"/>
                <w:sz w:val="21"/>
                <w:szCs w:val="21"/>
                <w:highlight w:val="none"/>
              </w:rPr>
            </w:pPr>
            <w:r>
              <w:rPr>
                <w:rFonts w:hint="eastAsia"/>
                <w:color w:val="auto"/>
                <w:sz w:val="21"/>
                <w:szCs w:val="21"/>
                <w:highlight w:val="none"/>
              </w:rPr>
              <w:t>点间距（</w:t>
            </w:r>
            <w:r>
              <w:rPr>
                <w:color w:val="auto"/>
                <w:sz w:val="21"/>
                <w:szCs w:val="21"/>
                <w:highlight w:val="none"/>
              </w:rPr>
              <w:t>mm</w:t>
            </w:r>
            <w:r>
              <w:rPr>
                <w:rFonts w:hint="eastAsia"/>
                <w:color w:val="auto"/>
                <w:sz w:val="21"/>
                <w:szCs w:val="21"/>
                <w:highlight w:val="none"/>
              </w:rPr>
              <w:t>）</w:t>
            </w:r>
          </w:p>
        </w:tc>
        <w:tc>
          <w:tcPr>
            <w:tcW w:w="2329" w:type="dxa"/>
            <w:tcBorders>
              <w:top w:val="single" w:color="auto" w:sz="8" w:space="0"/>
              <w:left w:val="single" w:color="auto" w:sz="8" w:space="0"/>
              <w:bottom w:val="single" w:color="auto" w:sz="8" w:space="0"/>
              <w:right w:val="single" w:color="auto" w:sz="4" w:space="0"/>
            </w:tcBorders>
            <w:vAlign w:val="bottom"/>
          </w:tcPr>
          <w:p>
            <w:pPr>
              <w:rPr>
                <w:color w:val="auto"/>
                <w:sz w:val="21"/>
                <w:szCs w:val="21"/>
                <w:highlight w:val="none"/>
              </w:rPr>
            </w:pPr>
            <w:r>
              <w:rPr>
                <w:rFonts w:hint="eastAsia" w:ascii="宋体" w:hAnsi="宋体" w:cs="宋体"/>
                <w:color w:val="auto"/>
                <w:sz w:val="21"/>
                <w:szCs w:val="21"/>
                <w:highlight w:val="none"/>
              </w:rPr>
              <w:t>≦</w:t>
            </w:r>
            <w:r>
              <w:rPr>
                <w:color w:val="auto"/>
                <w:sz w:val="21"/>
                <w:szCs w:val="21"/>
                <w:highlight w:val="none"/>
              </w:rPr>
              <w:t>4mm</w:t>
            </w:r>
          </w:p>
        </w:tc>
        <w:tc>
          <w:tcPr>
            <w:tcW w:w="1701" w:type="dxa"/>
            <w:tcBorders>
              <w:top w:val="single" w:color="auto" w:sz="8" w:space="0"/>
              <w:left w:val="single" w:color="auto" w:sz="4" w:space="0"/>
              <w:bottom w:val="single" w:color="auto" w:sz="8" w:space="0"/>
              <w:right w:val="single" w:color="auto" w:sz="4" w:space="0"/>
            </w:tcBorders>
            <w:vAlign w:val="bottom"/>
          </w:tcPr>
          <w:p>
            <w:pPr>
              <w:rPr>
                <w:color w:val="auto"/>
                <w:sz w:val="21"/>
                <w:szCs w:val="21"/>
                <w:highlight w:val="none"/>
              </w:rPr>
            </w:pPr>
            <w:r>
              <w:rPr>
                <w:rFonts w:hint="eastAsia"/>
                <w:color w:val="auto"/>
                <w:sz w:val="21"/>
                <w:szCs w:val="21"/>
                <w:highlight w:val="none"/>
              </w:rPr>
              <w:t>像素点（点</w:t>
            </w:r>
            <w:r>
              <w:rPr>
                <w:color w:val="auto"/>
                <w:sz w:val="21"/>
                <w:szCs w:val="21"/>
                <w:highlight w:val="none"/>
              </w:rPr>
              <w:t>/ m</w:t>
            </w:r>
            <w:r>
              <w:rPr>
                <w:color w:val="auto"/>
                <w:sz w:val="21"/>
                <w:szCs w:val="21"/>
                <w:highlight w:val="none"/>
                <w:vertAlign w:val="superscript"/>
              </w:rPr>
              <w:t>2</w:t>
            </w:r>
            <w:r>
              <w:rPr>
                <w:rFonts w:hint="eastAsia"/>
                <w:color w:val="auto"/>
                <w:sz w:val="21"/>
                <w:szCs w:val="21"/>
                <w:highlight w:val="none"/>
              </w:rPr>
              <w:t>）</w:t>
            </w:r>
          </w:p>
        </w:tc>
        <w:tc>
          <w:tcPr>
            <w:tcW w:w="3582" w:type="dxa"/>
            <w:tcBorders>
              <w:top w:val="single" w:color="auto" w:sz="8" w:space="0"/>
              <w:left w:val="single" w:color="auto" w:sz="4" w:space="0"/>
              <w:bottom w:val="single" w:color="auto" w:sz="8" w:space="0"/>
              <w:right w:val="single" w:color="auto" w:sz="8" w:space="0"/>
            </w:tcBorders>
            <w:vAlign w:val="bottom"/>
          </w:tcPr>
          <w:p>
            <w:pPr>
              <w:rPr>
                <w:color w:val="auto"/>
                <w:sz w:val="21"/>
                <w:szCs w:val="21"/>
                <w:highlight w:val="none"/>
              </w:rPr>
            </w:pPr>
            <w:r>
              <w:rPr>
                <w:rFonts w:ascii="Arial" w:hAnsi="Arial" w:cs="Arial"/>
                <w:color w:val="auto"/>
                <w:sz w:val="21"/>
                <w:szCs w:val="21"/>
                <w:highlight w:val="none"/>
              </w:rPr>
              <w:t>≥</w:t>
            </w:r>
            <w:r>
              <w:rPr>
                <w:color w:val="auto"/>
                <w:sz w:val="21"/>
                <w:szCs w:val="21"/>
                <w:highlight w:val="none"/>
              </w:rPr>
              <w:t>62500</w:t>
            </w:r>
            <w:r>
              <w:rPr>
                <w:rFonts w:hint="eastAsia"/>
                <w:color w:val="auto"/>
                <w:sz w:val="21"/>
                <w:szCs w:val="21"/>
                <w:highlight w:val="none"/>
              </w:rPr>
              <w:t>点数</w:t>
            </w:r>
            <w:r>
              <w:rPr>
                <w:color w:val="auto"/>
                <w:sz w:val="21"/>
                <w:szCs w:val="21"/>
                <w:highlight w:val="none"/>
              </w:rPr>
              <w:t>/m</w:t>
            </w:r>
            <w:r>
              <w:rPr>
                <w:color w:val="auto"/>
                <w:sz w:val="21"/>
                <w:szCs w:val="21"/>
                <w:highlight w:val="none"/>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504" w:type="dxa"/>
            <w:tcBorders>
              <w:top w:val="single" w:color="auto" w:sz="8" w:space="0"/>
              <w:left w:val="thinThickSmallGap" w:color="auto" w:sz="18" w:space="0"/>
              <w:bottom w:val="single" w:color="auto" w:sz="8" w:space="0"/>
              <w:right w:val="single" w:color="auto" w:sz="8" w:space="0"/>
            </w:tcBorders>
            <w:vAlign w:val="bottom"/>
          </w:tcPr>
          <w:p>
            <w:pPr>
              <w:spacing w:line="240" w:lineRule="exact"/>
              <w:rPr>
                <w:color w:val="auto"/>
                <w:sz w:val="21"/>
                <w:szCs w:val="21"/>
                <w:highlight w:val="none"/>
              </w:rPr>
            </w:pPr>
            <w:r>
              <w:rPr>
                <w:rFonts w:hint="eastAsia"/>
                <w:color w:val="auto"/>
                <w:sz w:val="21"/>
                <w:szCs w:val="21"/>
                <w:highlight w:val="none"/>
              </w:rPr>
              <w:t>分辨率（</w:t>
            </w:r>
            <w:r>
              <w:rPr>
                <w:color w:val="auto"/>
                <w:sz w:val="21"/>
                <w:szCs w:val="21"/>
                <w:highlight w:val="none"/>
              </w:rPr>
              <w:t>W×H</w:t>
            </w:r>
            <w:r>
              <w:rPr>
                <w:rFonts w:hint="eastAsia"/>
                <w:color w:val="auto"/>
                <w:sz w:val="21"/>
                <w:szCs w:val="21"/>
                <w:highlight w:val="none"/>
              </w:rPr>
              <w:t>）</w:t>
            </w:r>
          </w:p>
        </w:tc>
        <w:tc>
          <w:tcPr>
            <w:tcW w:w="2329" w:type="dxa"/>
            <w:tcBorders>
              <w:top w:val="single" w:color="auto" w:sz="8" w:space="0"/>
              <w:left w:val="single" w:color="auto" w:sz="8" w:space="0"/>
              <w:bottom w:val="single" w:color="auto" w:sz="8" w:space="0"/>
              <w:right w:val="single" w:color="auto" w:sz="4" w:space="0"/>
            </w:tcBorders>
            <w:vAlign w:val="center"/>
          </w:tcPr>
          <w:p>
            <w:pPr>
              <w:spacing w:line="240" w:lineRule="exact"/>
              <w:rPr>
                <w:color w:val="auto"/>
                <w:sz w:val="21"/>
                <w:szCs w:val="21"/>
                <w:highlight w:val="none"/>
              </w:rPr>
            </w:pPr>
            <w:r>
              <w:rPr>
                <w:rFonts w:ascii="Arial" w:hAnsi="Arial" w:cs="Arial"/>
                <w:color w:val="auto"/>
                <w:sz w:val="21"/>
                <w:szCs w:val="21"/>
                <w:highlight w:val="none"/>
              </w:rPr>
              <w:t>≥</w:t>
            </w:r>
            <w:r>
              <w:rPr>
                <w:rFonts w:hint="eastAsia"/>
                <w:color w:val="auto"/>
                <w:sz w:val="21"/>
                <w:szCs w:val="21"/>
                <w:highlight w:val="none"/>
              </w:rPr>
              <w:t>80点×40点</w:t>
            </w:r>
          </w:p>
        </w:tc>
        <w:tc>
          <w:tcPr>
            <w:tcW w:w="1701" w:type="dxa"/>
            <w:tcBorders>
              <w:top w:val="single" w:color="auto" w:sz="8" w:space="0"/>
              <w:left w:val="single" w:color="auto" w:sz="4" w:space="0"/>
              <w:bottom w:val="single" w:color="auto" w:sz="8" w:space="0"/>
              <w:right w:val="single" w:color="auto" w:sz="4" w:space="0"/>
            </w:tcBorders>
            <w:vAlign w:val="bottom"/>
          </w:tcPr>
          <w:p>
            <w:pPr>
              <w:rPr>
                <w:color w:val="auto"/>
                <w:sz w:val="21"/>
                <w:szCs w:val="21"/>
                <w:highlight w:val="none"/>
              </w:rPr>
            </w:pPr>
            <w:r>
              <w:rPr>
                <w:rFonts w:hint="eastAsia"/>
                <w:color w:val="auto"/>
                <w:sz w:val="21"/>
                <w:szCs w:val="21"/>
                <w:highlight w:val="none"/>
              </w:rPr>
              <w:t>重</w:t>
            </w:r>
            <w:r>
              <w:rPr>
                <w:color w:val="auto"/>
                <w:sz w:val="21"/>
                <w:szCs w:val="21"/>
                <w:highlight w:val="none"/>
              </w:rPr>
              <w:t xml:space="preserve"> </w:t>
            </w:r>
            <w:r>
              <w:rPr>
                <w:rFonts w:hint="eastAsia"/>
                <w:color w:val="auto"/>
                <w:sz w:val="21"/>
                <w:szCs w:val="21"/>
                <w:highlight w:val="none"/>
              </w:rPr>
              <w:t>量（</w:t>
            </w:r>
            <w:r>
              <w:rPr>
                <w:color w:val="auto"/>
                <w:sz w:val="21"/>
                <w:szCs w:val="21"/>
                <w:highlight w:val="none"/>
              </w:rPr>
              <w:t>kg/</w:t>
            </w:r>
            <w:r>
              <w:rPr>
                <w:rFonts w:hint="eastAsia"/>
                <w:color w:val="auto"/>
                <w:sz w:val="21"/>
                <w:szCs w:val="21"/>
                <w:highlight w:val="none"/>
              </w:rPr>
              <w:t>个）</w:t>
            </w:r>
          </w:p>
        </w:tc>
        <w:tc>
          <w:tcPr>
            <w:tcW w:w="3582" w:type="dxa"/>
            <w:tcBorders>
              <w:top w:val="single" w:color="auto" w:sz="8" w:space="0"/>
              <w:left w:val="single" w:color="auto" w:sz="4" w:space="0"/>
              <w:bottom w:val="single" w:color="auto" w:sz="8" w:space="0"/>
              <w:right w:val="single" w:color="auto" w:sz="8" w:space="0"/>
            </w:tcBorders>
            <w:vAlign w:val="bottom"/>
          </w:tcPr>
          <w:p>
            <w:pPr>
              <w:rPr>
                <w:color w:val="auto"/>
                <w:sz w:val="21"/>
                <w:szCs w:val="21"/>
                <w:highlight w:val="none"/>
              </w:rPr>
            </w:pPr>
            <w:r>
              <w:rPr>
                <w:rFonts w:ascii="Arial" w:hAnsi="Arial" w:cs="Arial"/>
                <w:color w:val="auto"/>
                <w:sz w:val="21"/>
                <w:szCs w:val="21"/>
                <w:highlight w:val="none"/>
              </w:rPr>
              <w:t>≦0.6kg/个</w:t>
            </w:r>
          </w:p>
        </w:tc>
      </w:tr>
    </w:tbl>
    <w:p>
      <w:pPr>
        <w:pStyle w:val="10"/>
        <w:rPr>
          <w:color w:val="auto"/>
          <w:highlight w:val="none"/>
        </w:rPr>
      </w:pPr>
      <w:bookmarkStart w:id="371" w:name="_Toc14423"/>
      <w:bookmarkStart w:id="372" w:name="_Toc291071464"/>
      <w:bookmarkStart w:id="373" w:name="_Toc190770671"/>
      <w:bookmarkStart w:id="374" w:name="_Toc21363"/>
      <w:bookmarkStart w:id="375" w:name="_Toc29843"/>
      <w:bookmarkStart w:id="376" w:name="_Toc135743363"/>
      <w:bookmarkStart w:id="377" w:name="_Toc15411"/>
      <w:bookmarkStart w:id="378" w:name="_Toc5364"/>
      <w:bookmarkStart w:id="379" w:name="_Toc13613"/>
      <w:bookmarkStart w:id="380" w:name="_Toc8389"/>
      <w:bookmarkStart w:id="381" w:name="_Toc23747"/>
      <w:bookmarkStart w:id="382" w:name="_Toc31533"/>
      <w:bookmarkStart w:id="383" w:name="_Toc12717"/>
      <w:bookmarkStart w:id="384" w:name="_Toc291071825"/>
      <w:bookmarkStart w:id="385" w:name="_Toc291071251"/>
      <w:r>
        <w:rPr>
          <w:color w:val="auto"/>
          <w:highlight w:val="none"/>
        </w:rPr>
        <w:t>2</w:t>
      </w:r>
      <w:r>
        <w:rPr>
          <w:rFonts w:hint="eastAsia"/>
          <w:color w:val="auto"/>
          <w:highlight w:val="none"/>
        </w:rPr>
        <w:t>．管芯参数</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337"/>
        <w:gridCol w:w="1403"/>
        <w:gridCol w:w="1187"/>
        <w:gridCol w:w="1003"/>
        <w:gridCol w:w="772"/>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1" w:type="dxa"/>
            <w:tcBorders>
              <w:top w:val="thinThickSmallGap" w:color="auto" w:sz="18" w:space="0"/>
              <w:left w:val="thinThickSmallGap" w:color="auto" w:sz="18"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t>LED</w:t>
            </w:r>
          </w:p>
        </w:tc>
        <w:tc>
          <w:tcPr>
            <w:tcW w:w="1740" w:type="dxa"/>
            <w:gridSpan w:val="2"/>
            <w:tcBorders>
              <w:top w:val="thinThickSmallGap" w:color="auto" w:sz="18"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波长（</w:t>
            </w:r>
            <w:r>
              <w:rPr>
                <w:color w:val="auto"/>
                <w:sz w:val="21"/>
                <w:szCs w:val="21"/>
                <w:highlight w:val="none"/>
              </w:rPr>
              <w:t>Typ</w:t>
            </w:r>
            <w:r>
              <w:rPr>
                <w:rFonts w:hint="eastAsia"/>
                <w:color w:val="auto"/>
                <w:sz w:val="21"/>
                <w:szCs w:val="21"/>
                <w:highlight w:val="none"/>
              </w:rPr>
              <w:t>）</w:t>
            </w:r>
          </w:p>
        </w:tc>
        <w:tc>
          <w:tcPr>
            <w:tcW w:w="2190" w:type="dxa"/>
            <w:gridSpan w:val="2"/>
            <w:tcBorders>
              <w:top w:val="thinThickSmallGap" w:color="auto" w:sz="18"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厂</w:t>
            </w:r>
            <w:r>
              <w:rPr>
                <w:color w:val="auto"/>
                <w:sz w:val="21"/>
                <w:szCs w:val="21"/>
                <w:highlight w:val="none"/>
              </w:rPr>
              <w:t xml:space="preserve"> </w:t>
            </w:r>
            <w:r>
              <w:rPr>
                <w:rFonts w:hint="eastAsia"/>
                <w:color w:val="auto"/>
                <w:sz w:val="21"/>
                <w:szCs w:val="21"/>
                <w:highlight w:val="none"/>
              </w:rPr>
              <w:t>家</w:t>
            </w:r>
          </w:p>
        </w:tc>
        <w:tc>
          <w:tcPr>
            <w:tcW w:w="3585" w:type="dxa"/>
            <w:gridSpan w:val="2"/>
            <w:tcBorders>
              <w:top w:val="thinThickSmallGap" w:color="auto" w:sz="18"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01" w:type="dxa"/>
            <w:tcBorders>
              <w:top w:val="single" w:color="auto" w:sz="4" w:space="0"/>
              <w:left w:val="thinThickSmallGap" w:color="auto" w:sz="18"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drawing>
                <wp:inline distT="0" distB="0" distL="0" distR="0">
                  <wp:extent cx="400050" cy="219075"/>
                  <wp:effectExtent l="19050" t="0" r="0" b="0"/>
                  <wp:docPr id="1" name="Picture 1" descr="红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红灯"/>
                          <pic:cNvPicPr>
                            <a:picLocks noChangeAspect="1" noChangeArrowheads="1"/>
                          </pic:cNvPicPr>
                        </pic:nvPicPr>
                        <pic:blipFill>
                          <a:blip r:embed="rId16" cstate="print"/>
                          <a:srcRect/>
                          <a:stretch>
                            <a:fillRect/>
                          </a:stretch>
                        </pic:blipFill>
                        <pic:spPr>
                          <a:xfrm>
                            <a:off x="0" y="0"/>
                            <a:ext cx="400050" cy="219075"/>
                          </a:xfrm>
                          <a:prstGeom prst="rect">
                            <a:avLst/>
                          </a:prstGeom>
                          <a:noFill/>
                          <a:ln w="9525">
                            <a:noFill/>
                            <a:miter lim="800000"/>
                            <a:headEnd/>
                            <a:tailEnd/>
                          </a:ln>
                        </pic:spPr>
                      </pic:pic>
                    </a:graphicData>
                  </a:graphic>
                </wp:inline>
              </w:drawing>
            </w:r>
          </w:p>
        </w:tc>
        <w:tc>
          <w:tcPr>
            <w:tcW w:w="174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t>620-625nm</w:t>
            </w:r>
          </w:p>
        </w:tc>
        <w:tc>
          <w:tcPr>
            <w:tcW w:w="219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士兰\晶瀚\晶元</w:t>
            </w:r>
          </w:p>
        </w:tc>
        <w:tc>
          <w:tcPr>
            <w:tcW w:w="3585"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mc:AlternateContent>
                <mc:Choice Requires="wps">
                  <w:drawing>
                    <wp:anchor distT="0" distB="0" distL="114300" distR="114300" simplePos="0" relativeHeight="251661312" behindDoc="0" locked="0" layoutInCell="1" allowOverlap="1">
                      <wp:simplePos x="0" y="0"/>
                      <wp:positionH relativeFrom="column">
                        <wp:posOffset>1725295</wp:posOffset>
                      </wp:positionH>
                      <wp:positionV relativeFrom="paragraph">
                        <wp:posOffset>318135</wp:posOffset>
                      </wp:positionV>
                      <wp:extent cx="266700" cy="417195"/>
                      <wp:effectExtent l="0" t="0" r="0" b="1905"/>
                      <wp:wrapNone/>
                      <wp:docPr id="4" name="Rectangle 228"/>
                      <wp:cNvGraphicFramePr/>
                      <a:graphic xmlns:a="http://schemas.openxmlformats.org/drawingml/2006/main">
                        <a:graphicData uri="http://schemas.microsoft.com/office/word/2010/wordprocessingShape">
                          <wps:wsp>
                            <wps:cNvSpPr/>
                            <wps:spPr>
                              <a:xfrm>
                                <a:off x="0" y="0"/>
                                <a:ext cx="266700" cy="417195"/>
                              </a:xfrm>
                              <a:prstGeom prst="rect">
                                <a:avLst/>
                              </a:prstGeom>
                              <a:solidFill>
                                <a:srgbClr val="FFFFFF"/>
                              </a:solidFill>
                              <a:ln>
                                <a:noFill/>
                              </a:ln>
                            </wps:spPr>
                            <wps:txbx>
                              <w:txbxContent>
                                <w:p>
                                  <w:pPr>
                                    <w:rPr>
                                      <w:szCs w:val="21"/>
                                    </w:rPr>
                                  </w:pPr>
                                  <w:r>
                                    <w:rPr>
                                      <w:szCs w:val="21"/>
                                    </w:rPr>
                                    <w:t>50°</w:t>
                                  </w:r>
                                </w:p>
                              </w:txbxContent>
                            </wps:txbx>
                            <wps:bodyPr lIns="0" tIns="0" rIns="0" bIns="0" upright="1"/>
                          </wps:wsp>
                        </a:graphicData>
                      </a:graphic>
                    </wp:anchor>
                  </w:drawing>
                </mc:Choice>
                <mc:Fallback>
                  <w:pict>
                    <v:rect id="Rectangle 228" o:spid="_x0000_s1026" o:spt="1" style="position:absolute;left:0pt;margin-left:135.85pt;margin-top:25.05pt;height:32.85pt;width:21pt;z-index:251661312;mso-width-relative:page;mso-height-relative:page;" fillcolor="#FFFFFF" filled="t" stroked="f" coordsize="21600,21600" o:gfxdata="UEsDBAoAAAAAAIdO4kAAAAAAAAAAAAAAAAAEAAAAZHJzL1BLAwQUAAAACACHTuJAfiZQM9YAAAAK&#10;AQAADwAAAGRycy9kb3ducmV2LnhtbE2PTU/DMAyG70j8h8hI3FiSTWNTaboDH9qZMsQ1a0xbSJyq&#10;SbfCr8ec4Gj70evnLXdz8OKEY+ojGdALBQKpia6n1sDh5elmCyJlS876SGjgCxPsqsuL0hYunukZ&#10;T3VuBYdQKqyBLuehkDI1HQabFnFA4tt7HIPNPI6tdKM9c3jwcqnUrQy2J/7Q2QHvO2w+6ykY2OuH&#10;x+FDftd27zNOr93c+LfZmOsrre5AZJzzHwy/+qwOFTsd40QuCW9gudEbRg2slQbBwEqveHFkUq+3&#10;IKtS/q9Q/QBQSwMEFAAAAAgAh07iQLo6Fdm7AQAAkgMAAA4AAABkcnMvZTJvRG9jLnhtbK1Ty27b&#10;MBC8F8g/ELzHeiB1UsFyDjEcFCjaoEk/gKIoiQBfWNKW/PddUrLz6CWH6kDNksvZnSG5uZ+0IkcB&#10;XlpT02KVUyIMt600fU3/vOyv7yjxgZmWKWtETU/C0/vt1ZfN6CpR2sGqVgBBEuOr0dV0CMFVWeb5&#10;IDTzK+uEwcXOgmYBQ+izFtiI7FplZZ6vs9FC68By4T3O7uZFujDCZwht10kudpYftDBhZgWhWEBJ&#10;fpDO023qtusED7+6zotAVE1RaUgjFkHcxDHbbljVA3OD5EsL7DMtfNCkmTRY9EK1Y4GRA8h/qLTk&#10;YL3twopbnc1CkiOoosg/ePM8MCeSFrTau4vp/v/R8p/HJyCyrekNJYZpPPDfaBozvRKkLO+iQaPz&#10;FeY9uydYIo8wqp060PGPOsiUTD1dTBVTIBwny/X6Nke7OS7dFLfFt6+RM3vd7MCHR2E1iaCmgOWT&#10;lez4w4c59ZwSa3mrZLuXSqUA+uZBATkyPN99+hb2d2nKxGRj47aZMc5kUdgsJaIwNdOir7HtCW1R&#10;3w1aHa/NGcAZNGdwcCD7AfsuUuFIhEeVBC7XKt6Ft3Eq/PqUt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iZQM9YAAAAKAQAADwAAAAAAAAABACAAAAAiAAAAZHJzL2Rvd25yZXYueG1sUEsBAhQA&#10;FAAAAAgAh07iQLo6Fdm7AQAAkgMAAA4AAAAAAAAAAQAgAAAAJQEAAGRycy9lMm9Eb2MueG1sUEsF&#10;BgAAAAAGAAYAWQEAAFIFAAAAAA==&#10;">
                      <v:fill on="t" focussize="0,0"/>
                      <v:stroke on="f"/>
                      <v:imagedata o:title=""/>
                      <o:lock v:ext="edit" aspectratio="f"/>
                      <v:textbox inset="0mm,0mm,0mm,0mm">
                        <w:txbxContent>
                          <w:p>
                            <w:pPr>
                              <w:rPr>
                                <w:szCs w:val="21"/>
                              </w:rPr>
                            </w:pPr>
                            <w:r>
                              <w:rPr>
                                <w:szCs w:val="21"/>
                              </w:rPr>
                              <w:t>50°</w:t>
                            </w:r>
                          </w:p>
                        </w:txbxContent>
                      </v:textbox>
                    </v:rect>
                  </w:pict>
                </mc:Fallback>
              </mc:AlternateContent>
            </w:r>
            <w:r>
              <w:rPr>
                <w:color w:val="auto"/>
                <w:sz w:val="21"/>
                <w:szCs w:val="21"/>
                <w:highlight w:val="none"/>
              </w:rPr>
              <w:drawing>
                <wp:anchor distT="0" distB="0" distL="114300" distR="114300" simplePos="0" relativeHeight="251659264" behindDoc="0" locked="0" layoutInCell="1" allowOverlap="1">
                  <wp:simplePos x="0" y="0"/>
                  <wp:positionH relativeFrom="column">
                    <wp:posOffset>1039495</wp:posOffset>
                  </wp:positionH>
                  <wp:positionV relativeFrom="paragraph">
                    <wp:posOffset>202565</wp:posOffset>
                  </wp:positionV>
                  <wp:extent cx="676910" cy="429260"/>
                  <wp:effectExtent l="19050" t="0" r="8890" b="0"/>
                  <wp:wrapNone/>
                  <wp:docPr id="27" name="Picture 2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27" descr="1"/>
                          <pic:cNvPicPr>
                            <a:picLocks noChangeAspect="1" noChangeArrowheads="1"/>
                          </pic:cNvPicPr>
                        </pic:nvPicPr>
                        <pic:blipFill>
                          <a:blip r:embed="rId17" cstate="print"/>
                          <a:srcRect/>
                          <a:stretch>
                            <a:fillRect/>
                          </a:stretch>
                        </pic:blipFill>
                        <pic:spPr>
                          <a:xfrm>
                            <a:off x="0" y="0"/>
                            <a:ext cx="676910" cy="429260"/>
                          </a:xfrm>
                          <a:prstGeom prst="rect">
                            <a:avLst/>
                          </a:prstGeom>
                          <a:noFill/>
                          <a:ln w="9525">
                            <a:noFill/>
                            <a:miter lim="800000"/>
                            <a:headEnd/>
                            <a:tailEnd/>
                          </a:ln>
                        </pic:spPr>
                      </pic:pic>
                    </a:graphicData>
                  </a:graphic>
                </wp:anchor>
              </w:drawing>
            </w:r>
            <w:r>
              <w:rPr>
                <w:color w:val="auto"/>
                <w:sz w:val="21"/>
                <w:szCs w:val="21"/>
                <w:highlight w:val="none"/>
              </w:rPr>
              <w:drawing>
                <wp:anchor distT="0" distB="0" distL="114300" distR="114300" simplePos="0" relativeHeight="251660288" behindDoc="0" locked="0" layoutInCell="1" allowOverlap="1">
                  <wp:simplePos x="0" y="0"/>
                  <wp:positionH relativeFrom="column">
                    <wp:posOffset>302895</wp:posOffset>
                  </wp:positionH>
                  <wp:positionV relativeFrom="paragraph">
                    <wp:posOffset>75565</wp:posOffset>
                  </wp:positionV>
                  <wp:extent cx="733425" cy="647065"/>
                  <wp:effectExtent l="19050" t="0" r="9525" b="0"/>
                  <wp:wrapNone/>
                  <wp:docPr id="28" name="Picture 2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29" descr="2"/>
                          <pic:cNvPicPr>
                            <a:picLocks noChangeAspect="1" noChangeArrowheads="1"/>
                          </pic:cNvPicPr>
                        </pic:nvPicPr>
                        <pic:blipFill>
                          <a:blip r:embed="rId18" cstate="print"/>
                          <a:srcRect/>
                          <a:stretch>
                            <a:fillRect/>
                          </a:stretch>
                        </pic:blipFill>
                        <pic:spPr>
                          <a:xfrm>
                            <a:off x="0" y="0"/>
                            <a:ext cx="733425" cy="647065"/>
                          </a:xfrm>
                          <a:prstGeom prst="rect">
                            <a:avLst/>
                          </a:prstGeom>
                          <a:noFill/>
                          <a:ln w="9525">
                            <a:noFill/>
                            <a:miter lim="800000"/>
                            <a:headEnd/>
                            <a:tailEnd/>
                          </a:ln>
                        </pic:spPr>
                      </pic:pic>
                    </a:graphicData>
                  </a:graphic>
                </wp:anchor>
              </w:drawing>
            </w:r>
            <w:r>
              <w:rPr>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521970</wp:posOffset>
                      </wp:positionH>
                      <wp:positionV relativeFrom="paragraph">
                        <wp:posOffset>75565</wp:posOffset>
                      </wp:positionV>
                      <wp:extent cx="266700" cy="198120"/>
                      <wp:effectExtent l="0" t="0" r="0" b="5080"/>
                      <wp:wrapNone/>
                      <wp:docPr id="5" name="Rectangle 230"/>
                      <wp:cNvGraphicFramePr/>
                      <a:graphic xmlns:a="http://schemas.openxmlformats.org/drawingml/2006/main">
                        <a:graphicData uri="http://schemas.microsoft.com/office/word/2010/wordprocessingShape">
                          <wps:wsp>
                            <wps:cNvSpPr/>
                            <wps:spPr>
                              <a:xfrm>
                                <a:off x="0" y="0"/>
                                <a:ext cx="266700" cy="198120"/>
                              </a:xfrm>
                              <a:prstGeom prst="rect">
                                <a:avLst/>
                              </a:prstGeom>
                              <a:solidFill>
                                <a:srgbClr val="FFFFFF"/>
                              </a:solidFill>
                              <a:ln>
                                <a:noFill/>
                              </a:ln>
                            </wps:spPr>
                            <wps:txbx>
                              <w:txbxContent>
                                <w:p>
                                  <w:pPr>
                                    <w:rPr>
                                      <w:szCs w:val="21"/>
                                    </w:rPr>
                                  </w:pPr>
                                  <w:r>
                                    <w:rPr>
                                      <w:szCs w:val="21"/>
                                    </w:rPr>
                                    <w:t>110°</w:t>
                                  </w:r>
                                </w:p>
                              </w:txbxContent>
                            </wps:txbx>
                            <wps:bodyPr lIns="0" tIns="0" rIns="0" bIns="0" upright="1"/>
                          </wps:wsp>
                        </a:graphicData>
                      </a:graphic>
                    </wp:anchor>
                  </w:drawing>
                </mc:Choice>
                <mc:Fallback>
                  <w:pict>
                    <v:rect id="Rectangle 230" o:spid="_x0000_s1026" o:spt="1" style="position:absolute;left:0pt;margin-left:41.1pt;margin-top:5.95pt;height:15.6pt;width:21pt;z-index:251662336;mso-width-relative:page;mso-height-relative:page;" fillcolor="#FFFFFF" filled="t" stroked="f" coordsize="21600,21600" o:gfxdata="UEsDBAoAAAAAAIdO4kAAAAAAAAAAAAAAAAAEAAAAZHJzL1BLAwQUAAAACACHTuJAynZwQ9MAAAAI&#10;AQAADwAAAGRycy9kb3ducmV2LnhtbE2PS0/DMBCE70j8B2uRuFHHoUIlxOmBh3omgLhu4yUO+BHF&#10;Thv49WxPcNyZ0ew39XbxThxoSkMMGtSqAEGhi2YIvYbXl6erDYiUMRh0MZCGb0qwbc7PaqxMPIZn&#10;OrS5F1wSUoUabM5jJWXqLHlMqzhSYO8jTh4zn1MvzYRHLvdOlkVxIz0OgT9YHOneUvfVzl7DTj08&#10;jp/yp8WdyzS/2aVz74vWlxequAORacl/YTjhMzo0zLSPczBJOA2bsuQk6+oWxMkv1yzsNayvFcim&#10;lv8HNL9QSwMEFAAAAAgAh07iQOT1G3O8AQAAkgMAAA4AAABkcnMvZTJvRG9jLnhtbK1TyY7bMAy9&#10;F+g/CLo3XgZNp0GcOUyQokDRDjrTD5Bl2RagDaQSO39fStna6WUO9UEmReqR71FaP8zWsIMC1N41&#10;vFqUnCknfafd0PBfL7sP95xhFK4TxjvV8KNC/rB5/249hZWq/ehNp4ARiMPVFBo+xhhWRYFyVFbg&#10;wgflKNh7sCKSC0PRgZgI3ZqiLstlMXnoAnipEGl3ewryMyK8BdD3vZZq6+XeKhdPqKCMiEQJRx2Q&#10;b3K3fa9k/NH3qCIzDSemMa9UhOw2rcVmLVYDiDBqeW5BvKWFV5ys0I6KXqG2Igq2B/0PlNUSPPo+&#10;LqS3xYlIVoRYVOUrbZ5HEVTmQlJjuIqO/w9Wfj88AdNdwz9y5oSlgf8k0YQbjGL1XRZoCriivOfw&#10;BCRX8pDMxHbuwaY/8WBzFvV4FVXNkUnarJfLTyXJLSlUfb6v6oxZ3A4HwPhFecuS0XCg8llKcfiG&#10;kQpS6iUl1UJvdLfTxmQHhvbRADsImu8uf2mkdOSvNONSsvPp2CmcdooblWTFuZ3P/FrfHUkW89WR&#10;1OnaXAy4GO3F2AfQw0h9V7lwAqJR5RbO1yrdhT/9XPj2lD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p2cEPTAAAACAEAAA8AAAAAAAAAAQAgAAAAIgAAAGRycy9kb3ducmV2LnhtbFBLAQIUABQA&#10;AAAIAIdO4kDk9RtzvAEAAJIDAAAOAAAAAAAAAAEAIAAAACIBAABkcnMvZTJvRG9jLnhtbFBLBQYA&#10;AAAABgAGAFkBAABQBQAAAAA=&#10;">
                      <v:fill on="t" focussize="0,0"/>
                      <v:stroke on="f"/>
                      <v:imagedata o:title=""/>
                      <o:lock v:ext="edit" aspectratio="f"/>
                      <v:textbox inset="0mm,0mm,0mm,0mm">
                        <w:txbxContent>
                          <w:p>
                            <w:pPr>
                              <w:rPr>
                                <w:szCs w:val="21"/>
                              </w:rPr>
                            </w:pPr>
                            <w:r>
                              <w:rPr>
                                <w:szCs w:val="21"/>
                              </w:rPr>
                              <w:t>110°</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1" w:type="dxa"/>
            <w:tcBorders>
              <w:top w:val="single" w:color="auto" w:sz="4" w:space="0"/>
              <w:left w:val="thinThickSmallGap" w:color="auto" w:sz="18"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drawing>
                <wp:inline distT="0" distB="0" distL="0" distR="0">
                  <wp:extent cx="400050" cy="219075"/>
                  <wp:effectExtent l="19050" t="0" r="0" b="0"/>
                  <wp:docPr id="2" name="Picture 2" descr="绿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绿灯"/>
                          <pic:cNvPicPr>
                            <a:picLocks noChangeAspect="1" noChangeArrowheads="1"/>
                          </pic:cNvPicPr>
                        </pic:nvPicPr>
                        <pic:blipFill>
                          <a:blip r:embed="rId19" cstate="print"/>
                          <a:srcRect/>
                          <a:stretch>
                            <a:fillRect/>
                          </a:stretch>
                        </pic:blipFill>
                        <pic:spPr>
                          <a:xfrm>
                            <a:off x="0" y="0"/>
                            <a:ext cx="400050" cy="219075"/>
                          </a:xfrm>
                          <a:prstGeom prst="rect">
                            <a:avLst/>
                          </a:prstGeom>
                          <a:noFill/>
                          <a:ln w="9525">
                            <a:noFill/>
                            <a:miter lim="800000"/>
                            <a:headEnd/>
                            <a:tailEnd/>
                          </a:ln>
                        </pic:spPr>
                      </pic:pic>
                    </a:graphicData>
                  </a:graphic>
                </wp:inline>
              </w:drawing>
            </w:r>
          </w:p>
        </w:tc>
        <w:tc>
          <w:tcPr>
            <w:tcW w:w="174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t>520-525nm</w:t>
            </w:r>
          </w:p>
        </w:tc>
        <w:tc>
          <w:tcPr>
            <w:tcW w:w="219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士兰\晶瀚\晶元</w:t>
            </w:r>
          </w:p>
        </w:tc>
        <w:tc>
          <w:tcPr>
            <w:tcW w:w="35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1" w:type="dxa"/>
            <w:tcBorders>
              <w:top w:val="single" w:color="auto" w:sz="4" w:space="0"/>
              <w:left w:val="thinThickSmallGap" w:color="auto" w:sz="18"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drawing>
                <wp:inline distT="0" distB="0" distL="0" distR="0">
                  <wp:extent cx="400050" cy="219075"/>
                  <wp:effectExtent l="19050" t="0" r="0" b="0"/>
                  <wp:docPr id="3" name="Picture 3" descr="蓝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蓝灯"/>
                          <pic:cNvPicPr>
                            <a:picLocks noChangeAspect="1" noChangeArrowheads="1"/>
                          </pic:cNvPicPr>
                        </pic:nvPicPr>
                        <pic:blipFill>
                          <a:blip r:embed="rId20" cstate="print"/>
                          <a:srcRect/>
                          <a:stretch>
                            <a:fillRect/>
                          </a:stretch>
                        </pic:blipFill>
                        <pic:spPr>
                          <a:xfrm>
                            <a:off x="0" y="0"/>
                            <a:ext cx="400050" cy="219075"/>
                          </a:xfrm>
                          <a:prstGeom prst="rect">
                            <a:avLst/>
                          </a:prstGeom>
                          <a:noFill/>
                          <a:ln w="9525">
                            <a:noFill/>
                            <a:miter lim="800000"/>
                            <a:headEnd/>
                            <a:tailEnd/>
                          </a:ln>
                        </pic:spPr>
                      </pic:pic>
                    </a:graphicData>
                  </a:graphic>
                </wp:inline>
              </w:drawing>
            </w:r>
          </w:p>
        </w:tc>
        <w:tc>
          <w:tcPr>
            <w:tcW w:w="174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t>465-470nm</w:t>
            </w:r>
          </w:p>
        </w:tc>
        <w:tc>
          <w:tcPr>
            <w:tcW w:w="219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士兰\晶瀚\晶元</w:t>
            </w:r>
          </w:p>
        </w:tc>
        <w:tc>
          <w:tcPr>
            <w:tcW w:w="35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16" w:type="dxa"/>
            <w:gridSpan w:val="7"/>
            <w:tcBorders>
              <w:top w:val="single" w:color="auto" w:sz="4" w:space="0"/>
              <w:left w:val="thinThickSmallGap" w:color="auto" w:sz="18" w:space="0"/>
              <w:bottom w:val="single" w:color="auto" w:sz="4" w:space="0"/>
              <w:right w:val="single" w:color="auto" w:sz="4" w:space="0"/>
            </w:tcBorders>
          </w:tcPr>
          <w:p>
            <w:pPr>
              <w:snapToGrid w:val="0"/>
              <w:spacing w:line="400" w:lineRule="atLeast"/>
              <w:rPr>
                <w:color w:val="auto"/>
                <w:sz w:val="21"/>
                <w:szCs w:val="21"/>
                <w:highlight w:val="none"/>
              </w:rPr>
            </w:pPr>
            <w:r>
              <w:rPr>
                <w:rFonts w:hint="eastAsia"/>
                <w:color w:val="auto"/>
                <w:sz w:val="21"/>
                <w:szCs w:val="21"/>
                <w:highlight w:val="none"/>
              </w:rPr>
              <w:t>屏体波长控制在</w:t>
            </w:r>
            <w:r>
              <w:rPr>
                <w:color w:val="auto"/>
                <w:sz w:val="21"/>
                <w:szCs w:val="21"/>
                <w:highlight w:val="none"/>
              </w:rPr>
              <w:t>2.5nm</w:t>
            </w:r>
            <w:r>
              <w:rPr>
                <w:rFonts w:hint="eastAsia"/>
                <w:color w:val="auto"/>
                <w:sz w:val="21"/>
                <w:szCs w:val="21"/>
                <w:highlight w:val="none"/>
              </w:rPr>
              <w:t>之内，芯片采用大封装芯片。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938" w:type="dxa"/>
            <w:gridSpan w:val="2"/>
            <w:tcBorders>
              <w:top w:val="single" w:color="auto" w:sz="8" w:space="0"/>
              <w:left w:val="thinThickSmallGap" w:color="auto" w:sz="18" w:space="0"/>
              <w:bottom w:val="single" w:color="auto" w:sz="8" w:space="0"/>
              <w:right w:val="single" w:color="auto" w:sz="8" w:space="0"/>
            </w:tcBorders>
            <w:vAlign w:val="bottom"/>
          </w:tcPr>
          <w:p>
            <w:pPr>
              <w:spacing w:line="240" w:lineRule="exact"/>
              <w:rPr>
                <w:color w:val="auto"/>
                <w:sz w:val="21"/>
                <w:szCs w:val="21"/>
                <w:highlight w:val="none"/>
              </w:rPr>
            </w:pPr>
            <w:r>
              <w:rPr>
                <w:rFonts w:hint="eastAsia" w:hAnsi="宋体"/>
                <w:color w:val="auto"/>
                <w:sz w:val="21"/>
                <w:szCs w:val="21"/>
                <w:highlight w:val="none"/>
              </w:rPr>
              <w:t>标准平均功率（</w:t>
            </w:r>
            <w:r>
              <w:rPr>
                <w:color w:val="auto"/>
                <w:sz w:val="21"/>
                <w:szCs w:val="21"/>
                <w:highlight w:val="none"/>
              </w:rPr>
              <w:t>W/m</w:t>
            </w:r>
            <w:r>
              <w:rPr>
                <w:color w:val="auto"/>
                <w:sz w:val="21"/>
                <w:szCs w:val="21"/>
                <w:highlight w:val="none"/>
                <w:vertAlign w:val="superscript"/>
              </w:rPr>
              <w:t>2</w:t>
            </w:r>
            <w:r>
              <w:rPr>
                <w:rFonts w:hint="eastAsia" w:hAnsi="宋体"/>
                <w:color w:val="auto"/>
                <w:sz w:val="21"/>
                <w:szCs w:val="21"/>
                <w:highlight w:val="none"/>
              </w:rPr>
              <w:t>）</w:t>
            </w:r>
          </w:p>
        </w:tc>
        <w:tc>
          <w:tcPr>
            <w:tcW w:w="2590" w:type="dxa"/>
            <w:gridSpan w:val="2"/>
            <w:tcBorders>
              <w:top w:val="single" w:color="auto" w:sz="8" w:space="0"/>
              <w:left w:val="single" w:color="auto" w:sz="8" w:space="0"/>
              <w:bottom w:val="single" w:color="auto" w:sz="8" w:space="0"/>
              <w:right w:val="single" w:color="auto" w:sz="4" w:space="0"/>
            </w:tcBorders>
            <w:vAlign w:val="bottom"/>
          </w:tcPr>
          <w:p>
            <w:pPr>
              <w:spacing w:line="240" w:lineRule="exact"/>
              <w:rPr>
                <w:color w:val="auto"/>
                <w:sz w:val="21"/>
                <w:szCs w:val="21"/>
                <w:highlight w:val="none"/>
              </w:rPr>
            </w:pPr>
            <w:r>
              <w:rPr>
                <w:color w:val="auto"/>
                <w:sz w:val="21"/>
                <w:szCs w:val="21"/>
                <w:highlight w:val="none"/>
              </w:rPr>
              <w:t>300-600 W/m</w:t>
            </w:r>
            <w:r>
              <w:rPr>
                <w:color w:val="auto"/>
                <w:sz w:val="21"/>
                <w:szCs w:val="21"/>
                <w:highlight w:val="none"/>
                <w:vertAlign w:val="superscript"/>
              </w:rPr>
              <w:t>2</w:t>
            </w:r>
          </w:p>
        </w:tc>
        <w:tc>
          <w:tcPr>
            <w:tcW w:w="1775" w:type="dxa"/>
            <w:gridSpan w:val="2"/>
            <w:tcBorders>
              <w:top w:val="single" w:color="auto" w:sz="8" w:space="0"/>
              <w:left w:val="single" w:color="auto" w:sz="4" w:space="0"/>
              <w:bottom w:val="single" w:color="auto" w:sz="8" w:space="0"/>
              <w:right w:val="single" w:color="auto" w:sz="4" w:space="0"/>
            </w:tcBorders>
            <w:vAlign w:val="bottom"/>
          </w:tcPr>
          <w:p>
            <w:pPr>
              <w:spacing w:line="240" w:lineRule="exact"/>
              <w:rPr>
                <w:color w:val="auto"/>
                <w:sz w:val="21"/>
                <w:szCs w:val="21"/>
                <w:highlight w:val="none"/>
              </w:rPr>
            </w:pPr>
            <w:r>
              <w:rPr>
                <w:rFonts w:hint="eastAsia" w:hAnsi="宋体"/>
                <w:color w:val="auto"/>
                <w:sz w:val="21"/>
                <w:szCs w:val="21"/>
                <w:highlight w:val="none"/>
              </w:rPr>
              <w:t>最大功率（</w:t>
            </w:r>
            <w:r>
              <w:rPr>
                <w:color w:val="auto"/>
                <w:sz w:val="21"/>
                <w:szCs w:val="21"/>
                <w:highlight w:val="none"/>
              </w:rPr>
              <w:t>W/m</w:t>
            </w:r>
            <w:r>
              <w:rPr>
                <w:color w:val="auto"/>
                <w:sz w:val="21"/>
                <w:szCs w:val="21"/>
                <w:highlight w:val="none"/>
                <w:vertAlign w:val="superscript"/>
              </w:rPr>
              <w:t>2</w:t>
            </w:r>
            <w:r>
              <w:rPr>
                <w:rFonts w:hint="eastAsia" w:hAnsi="宋体"/>
                <w:color w:val="auto"/>
                <w:sz w:val="21"/>
                <w:szCs w:val="21"/>
                <w:highlight w:val="none"/>
              </w:rPr>
              <w:t>）</w:t>
            </w:r>
          </w:p>
        </w:tc>
        <w:tc>
          <w:tcPr>
            <w:tcW w:w="2813" w:type="dxa"/>
            <w:tcBorders>
              <w:top w:val="single" w:color="auto" w:sz="8" w:space="0"/>
              <w:left w:val="single" w:color="auto" w:sz="4" w:space="0"/>
              <w:bottom w:val="single" w:color="auto" w:sz="8" w:space="0"/>
              <w:right w:val="single" w:color="auto" w:sz="8" w:space="0"/>
            </w:tcBorders>
            <w:vAlign w:val="bottom"/>
          </w:tcPr>
          <w:p>
            <w:pPr>
              <w:spacing w:line="240" w:lineRule="exact"/>
              <w:rPr>
                <w:color w:val="auto"/>
                <w:sz w:val="21"/>
                <w:szCs w:val="21"/>
                <w:highlight w:val="none"/>
              </w:rPr>
            </w:pPr>
            <w:r>
              <w:rPr>
                <w:rFonts w:hint="eastAsia"/>
                <w:color w:val="auto"/>
                <w:sz w:val="21"/>
                <w:szCs w:val="21"/>
                <w:highlight w:val="none"/>
              </w:rPr>
              <w:t>≤</w:t>
            </w:r>
            <w:r>
              <w:rPr>
                <w:color w:val="auto"/>
                <w:sz w:val="21"/>
                <w:szCs w:val="21"/>
                <w:highlight w:val="none"/>
              </w:rPr>
              <w:t>800W/m</w:t>
            </w:r>
            <w:r>
              <w:rPr>
                <w:color w:val="auto"/>
                <w:sz w:val="21"/>
                <w:szCs w:val="21"/>
                <w:highlight w:val="none"/>
                <w:vertAlign w:val="superscript"/>
              </w:rPr>
              <w:t xml:space="preserve">2 </w:t>
            </w:r>
          </w:p>
        </w:tc>
      </w:tr>
    </w:tbl>
    <w:p>
      <w:pPr>
        <w:snapToGrid w:val="0"/>
        <w:spacing w:line="360" w:lineRule="auto"/>
        <w:outlineLvl w:val="1"/>
        <w:rPr>
          <w:rFonts w:ascii="宋体" w:hAnsi="宋体"/>
          <w:b/>
          <w:color w:val="auto"/>
          <w:highlight w:val="none"/>
        </w:rPr>
      </w:pPr>
      <w:bookmarkStart w:id="386" w:name="_Toc21759"/>
      <w:bookmarkStart w:id="387" w:name="_Toc291071466"/>
      <w:bookmarkStart w:id="388" w:name="_Toc32293"/>
      <w:bookmarkStart w:id="389" w:name="_Toc9932"/>
      <w:bookmarkStart w:id="390" w:name="_Toc25702"/>
      <w:bookmarkStart w:id="391" w:name="_Toc18248"/>
      <w:bookmarkStart w:id="392" w:name="_Toc291071827"/>
      <w:bookmarkStart w:id="393" w:name="_Toc135743364"/>
      <w:bookmarkStart w:id="394" w:name="_Toc252"/>
      <w:bookmarkStart w:id="395" w:name="_Toc291071253"/>
      <w:bookmarkStart w:id="396" w:name="_Toc28700"/>
      <w:bookmarkStart w:id="397" w:name="_Toc14426"/>
      <w:bookmarkStart w:id="398" w:name="_Toc18197"/>
      <w:bookmarkStart w:id="399" w:name="_Toc8932"/>
      <w:r>
        <w:rPr>
          <w:rFonts w:hint="eastAsia"/>
          <w:b/>
          <w:color w:val="auto"/>
          <w:highlight w:val="none"/>
        </w:rPr>
        <w:t>3．全彩</w:t>
      </w:r>
      <w:r>
        <w:rPr>
          <w:rFonts w:hint="eastAsia" w:ascii="宋体" w:hAnsi="宋体"/>
          <w:b/>
          <w:color w:val="auto"/>
          <w:highlight w:val="none"/>
        </w:rPr>
        <w:t>屏体参数</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jc w:val="center"/>
              <w:rPr>
                <w:rFonts w:ascii="宋体" w:hAnsi="宋体"/>
                <w:b/>
                <w:bCs/>
                <w:color w:val="auto"/>
                <w:sz w:val="21"/>
                <w:szCs w:val="21"/>
                <w:highlight w:val="none"/>
              </w:rPr>
            </w:pPr>
            <w:r>
              <w:rPr>
                <w:rFonts w:hint="eastAsia" w:ascii="宋体" w:hAnsi="宋体"/>
                <w:b/>
                <w:bCs/>
                <w:color w:val="auto"/>
                <w:sz w:val="21"/>
                <w:szCs w:val="21"/>
                <w:highlight w:val="none"/>
              </w:rPr>
              <w:t>说  明</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宋体" w:hAnsi="宋体"/>
                <w:b/>
                <w:bCs/>
                <w:color w:val="auto"/>
                <w:sz w:val="21"/>
                <w:szCs w:val="21"/>
                <w:highlight w:val="none"/>
              </w:rPr>
            </w:pPr>
            <w:r>
              <w:rPr>
                <w:rFonts w:hint="eastAsia" w:ascii="宋体" w:hAnsi="宋体"/>
                <w:b/>
                <w:bCs/>
                <w:color w:val="auto"/>
                <w:sz w:val="21"/>
                <w:szCs w:val="21"/>
                <w:highlight w:val="none"/>
              </w:rPr>
              <w:t>技术指标参数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2305" w:type="dxa"/>
            <w:tcBorders>
              <w:top w:val="single" w:color="auto" w:sz="4" w:space="0"/>
              <w:left w:val="thinThickSmallGap" w:color="auto" w:sz="24" w:space="0"/>
              <w:bottom w:val="single" w:color="auto" w:sz="4" w:space="0"/>
              <w:right w:val="single" w:color="auto" w:sz="4" w:space="0"/>
            </w:tcBorders>
            <w:vAlign w:val="center"/>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1、单元板</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物理点间距：</w:t>
            </w:r>
            <w:r>
              <w:rPr>
                <w:rFonts w:hint="eastAsia" w:ascii="宋体" w:hAnsi="宋体" w:cs="宋体"/>
                <w:color w:val="auto"/>
                <w:sz w:val="21"/>
                <w:szCs w:val="21"/>
                <w:highlight w:val="none"/>
              </w:rPr>
              <w:t>≦</w:t>
            </w:r>
            <w:r>
              <w:rPr>
                <w:rFonts w:hint="eastAsia" w:ascii="宋体" w:hAnsi="宋体"/>
                <w:color w:val="auto"/>
                <w:sz w:val="21"/>
                <w:szCs w:val="21"/>
                <w:highlight w:val="none"/>
              </w:rPr>
              <w:t>4.0mm                                                 芯片：铜支架封装</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物理密度：</w:t>
            </w:r>
            <w:r>
              <w:rPr>
                <w:rFonts w:ascii="Arial" w:hAnsi="Arial" w:cs="Arial"/>
                <w:color w:val="auto"/>
                <w:sz w:val="21"/>
                <w:szCs w:val="21"/>
                <w:highlight w:val="none"/>
              </w:rPr>
              <w:t>≥</w:t>
            </w:r>
            <w:r>
              <w:rPr>
                <w:rFonts w:hint="eastAsia" w:ascii="宋体" w:hAnsi="宋体"/>
                <w:color w:val="auto"/>
                <w:sz w:val="21"/>
                <w:szCs w:val="21"/>
                <w:highlight w:val="none"/>
              </w:rPr>
              <w:t>62500点/m2</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发光点颜色：1R1G1B</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单元板分辨率：</w:t>
            </w:r>
            <w:r>
              <w:rPr>
                <w:rFonts w:ascii="Arial" w:hAnsi="Arial" w:cs="Arial"/>
                <w:color w:val="auto"/>
                <w:sz w:val="21"/>
                <w:szCs w:val="21"/>
                <w:highlight w:val="none"/>
              </w:rPr>
              <w:t>≥</w:t>
            </w:r>
            <w:r>
              <w:rPr>
                <w:rFonts w:hint="eastAsia" w:ascii="宋体" w:hAnsi="宋体"/>
                <w:color w:val="auto"/>
                <w:sz w:val="21"/>
                <w:szCs w:val="21"/>
                <w:highlight w:val="none"/>
              </w:rPr>
              <w:t>80点×40点</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单元板尺寸：320mm×160mm</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 xml:space="preserve">屏体重量：约10 KG/平方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305" w:type="dxa"/>
            <w:tcBorders>
              <w:top w:val="single" w:color="auto" w:sz="4" w:space="0"/>
              <w:left w:val="thinThickSmallGap" w:color="auto" w:sz="24" w:space="0"/>
              <w:bottom w:val="single" w:color="auto" w:sz="4" w:space="0"/>
              <w:right w:val="single" w:color="auto" w:sz="4" w:space="0"/>
            </w:tcBorders>
            <w:vAlign w:val="center"/>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2、屏体</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屏体显示面积：4.</w:t>
            </w:r>
            <w:r>
              <w:rPr>
                <w:rFonts w:ascii="宋体" w:hAnsi="宋体"/>
                <w:color w:val="auto"/>
                <w:sz w:val="21"/>
                <w:szCs w:val="21"/>
                <w:highlight w:val="none"/>
              </w:rPr>
              <w:t>48</w:t>
            </w:r>
            <w:r>
              <w:rPr>
                <w:rFonts w:hint="eastAsia" w:ascii="宋体" w:hAnsi="宋体"/>
                <w:color w:val="auto"/>
                <w:sz w:val="21"/>
                <w:szCs w:val="21"/>
                <w:highlight w:val="none"/>
              </w:rPr>
              <w:t>m*2.</w:t>
            </w:r>
            <w:r>
              <w:rPr>
                <w:rFonts w:ascii="宋体" w:hAnsi="宋体"/>
                <w:color w:val="auto"/>
                <w:sz w:val="21"/>
                <w:szCs w:val="21"/>
                <w:highlight w:val="none"/>
              </w:rPr>
              <w:t>56</w:t>
            </w:r>
            <w:r>
              <w:rPr>
                <w:rFonts w:hint="eastAsia" w:ascii="宋体" w:hAnsi="宋体"/>
                <w:color w:val="auto"/>
                <w:sz w:val="21"/>
                <w:szCs w:val="21"/>
                <w:highlight w:val="none"/>
              </w:rPr>
              <w:t>m=</w:t>
            </w:r>
            <w:r>
              <w:rPr>
                <w:rFonts w:ascii="宋体" w:hAnsi="宋体"/>
                <w:color w:val="auto"/>
                <w:sz w:val="21"/>
                <w:szCs w:val="21"/>
                <w:highlight w:val="none"/>
              </w:rPr>
              <w:t>11.47</w:t>
            </w:r>
            <w:r>
              <w:rPr>
                <w:rFonts w:hint="eastAsia" w:ascii="宋体" w:hAnsi="宋体"/>
                <w:color w:val="auto"/>
                <w:sz w:val="21"/>
                <w:szCs w:val="21"/>
                <w:highlight w:val="none"/>
              </w:rPr>
              <w:t xml:space="preserve">㎡（保留小数点2位）                                </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整屏分辨率：</w:t>
            </w:r>
            <w:r>
              <w:rPr>
                <w:rFonts w:ascii="Arial" w:hAnsi="Arial" w:cs="Arial"/>
                <w:color w:val="auto"/>
                <w:sz w:val="21"/>
                <w:szCs w:val="21"/>
                <w:highlight w:val="none"/>
              </w:rPr>
              <w:t>≥</w:t>
            </w:r>
            <w:r>
              <w:rPr>
                <w:rFonts w:ascii="宋体" w:hAnsi="宋体"/>
                <w:color w:val="auto"/>
                <w:sz w:val="21"/>
                <w:szCs w:val="21"/>
                <w:highlight w:val="none"/>
              </w:rPr>
              <w:t>1120</w:t>
            </w:r>
            <w:r>
              <w:rPr>
                <w:rFonts w:hint="eastAsia" w:ascii="宋体" w:hAnsi="宋体"/>
                <w:color w:val="auto"/>
                <w:sz w:val="21"/>
                <w:szCs w:val="21"/>
                <w:highlight w:val="none"/>
              </w:rPr>
              <w:t>*</w:t>
            </w:r>
            <w:r>
              <w:rPr>
                <w:rFonts w:ascii="宋体" w:hAnsi="宋体"/>
                <w:color w:val="auto"/>
                <w:sz w:val="21"/>
                <w:szCs w:val="21"/>
                <w:highlight w:val="none"/>
              </w:rPr>
              <w:t>640</w:t>
            </w:r>
            <w:r>
              <w:rPr>
                <w:rFonts w:hint="eastAsia" w:ascii="宋体" w:hAnsi="宋体"/>
                <w:color w:val="auto"/>
                <w:sz w:val="21"/>
                <w:szCs w:val="21"/>
                <w:highlight w:val="none"/>
              </w:rPr>
              <w:t>=</w:t>
            </w:r>
            <w:r>
              <w:rPr>
                <w:rFonts w:ascii="宋体" w:hAnsi="宋体"/>
                <w:color w:val="auto"/>
                <w:sz w:val="21"/>
                <w:szCs w:val="21"/>
                <w:highlight w:val="none"/>
              </w:rPr>
              <w:t>716800</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点环境温度：存贮 -40℃ ～ +85℃工    作：-40℃ ～ +50℃</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相对湿度：10%～95%RH</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可视距离：2.0~10M</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工作电压：220V±10％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305" w:type="dxa"/>
            <w:tcBorders>
              <w:top w:val="single" w:color="auto" w:sz="4" w:space="0"/>
              <w:left w:val="thinThickSmallGap" w:color="auto" w:sz="24" w:space="0"/>
              <w:bottom w:val="single" w:color="auto" w:sz="4" w:space="0"/>
              <w:right w:val="single" w:color="auto" w:sz="4" w:space="0"/>
            </w:tcBorders>
            <w:vAlign w:val="center"/>
          </w:tcPr>
          <w:p>
            <w:pPr>
              <w:spacing w:line="240" w:lineRule="exact"/>
              <w:rPr>
                <w:b/>
                <w:bCs/>
                <w:color w:val="auto"/>
                <w:sz w:val="21"/>
                <w:szCs w:val="21"/>
                <w:highlight w:val="none"/>
              </w:rPr>
            </w:pPr>
            <w:r>
              <w:rPr>
                <w:b/>
                <w:bCs/>
                <w:color w:val="auto"/>
                <w:sz w:val="21"/>
                <w:szCs w:val="21"/>
                <w:highlight w:val="none"/>
              </w:rPr>
              <w:t>3</w:t>
            </w:r>
            <w:r>
              <w:rPr>
                <w:rFonts w:hint="eastAsia"/>
                <w:b/>
                <w:bCs/>
                <w:color w:val="auto"/>
                <w:sz w:val="21"/>
                <w:szCs w:val="21"/>
                <w:highlight w:val="none"/>
              </w:rPr>
              <w:t>、供电</w:t>
            </w:r>
          </w:p>
        </w:tc>
        <w:tc>
          <w:tcPr>
            <w:tcW w:w="69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工作电压：220V±10％</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平均功耗：300~600W/m</w:t>
            </w:r>
            <w:r>
              <w:rPr>
                <w:rFonts w:hint="eastAsia" w:ascii="宋体" w:hAnsi="宋体"/>
                <w:color w:val="auto"/>
                <w:sz w:val="21"/>
                <w:szCs w:val="21"/>
                <w:highlight w:val="none"/>
                <w:vertAlign w:val="superscript"/>
              </w:rPr>
              <w:t>2</w:t>
            </w:r>
          </w:p>
          <w:p>
            <w:pPr>
              <w:spacing w:line="240" w:lineRule="exact"/>
              <w:rPr>
                <w:rFonts w:ascii="宋体" w:hAnsi="宋体"/>
                <w:color w:val="auto"/>
                <w:sz w:val="21"/>
                <w:szCs w:val="21"/>
                <w:highlight w:val="none"/>
                <w:vertAlign w:val="superscript"/>
              </w:rPr>
            </w:pPr>
            <w:r>
              <w:rPr>
                <w:rFonts w:hint="eastAsia" w:ascii="宋体" w:hAnsi="宋体"/>
                <w:color w:val="auto"/>
                <w:sz w:val="21"/>
                <w:szCs w:val="21"/>
                <w:highlight w:val="none"/>
              </w:rPr>
              <w:t>最大功耗：≤</w:t>
            </w:r>
            <w:r>
              <w:rPr>
                <w:rFonts w:ascii="宋体" w:hAnsi="宋体"/>
                <w:color w:val="auto"/>
                <w:sz w:val="21"/>
                <w:szCs w:val="21"/>
                <w:highlight w:val="none"/>
              </w:rPr>
              <w:t>8</w:t>
            </w:r>
            <w:r>
              <w:rPr>
                <w:rFonts w:hint="eastAsia" w:ascii="宋体" w:hAnsi="宋体"/>
                <w:color w:val="auto"/>
                <w:sz w:val="21"/>
                <w:szCs w:val="21"/>
                <w:highlight w:val="none"/>
              </w:rPr>
              <w:t>00W/m</w:t>
            </w:r>
            <w:r>
              <w:rPr>
                <w:rFonts w:hint="eastAsia" w:ascii="宋体" w:hAnsi="宋体"/>
                <w:color w:val="auto"/>
                <w:sz w:val="21"/>
                <w:szCs w:val="21"/>
                <w:highlight w:val="none"/>
                <w:vertAlign w:val="superscript"/>
              </w:rPr>
              <w:t>2</w:t>
            </w:r>
          </w:p>
          <w:p>
            <w:pPr>
              <w:spacing w:line="240" w:lineRule="exact"/>
              <w:rPr>
                <w:rFonts w:ascii="宋体" w:hAnsi="宋体"/>
                <w:color w:val="auto"/>
                <w:sz w:val="21"/>
                <w:szCs w:val="21"/>
                <w:highlight w:val="none"/>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305" w:type="dxa"/>
            <w:tcBorders>
              <w:top w:val="single" w:color="auto" w:sz="4" w:space="0"/>
              <w:left w:val="thinThickSmallGap" w:color="auto" w:sz="24" w:space="0"/>
              <w:bottom w:val="single" w:color="auto" w:sz="4" w:space="0"/>
              <w:right w:val="single" w:color="auto" w:sz="4" w:space="0"/>
            </w:tcBorders>
            <w:vAlign w:val="center"/>
          </w:tcPr>
          <w:p>
            <w:pPr>
              <w:spacing w:line="240" w:lineRule="exact"/>
              <w:rPr>
                <w:b/>
                <w:bCs/>
                <w:color w:val="auto"/>
                <w:sz w:val="21"/>
                <w:szCs w:val="21"/>
                <w:highlight w:val="none"/>
              </w:rPr>
            </w:pPr>
            <w:r>
              <w:rPr>
                <w:b/>
                <w:bCs/>
                <w:color w:val="auto"/>
                <w:sz w:val="21"/>
                <w:szCs w:val="21"/>
                <w:highlight w:val="none"/>
              </w:rPr>
              <w:t>4</w:t>
            </w:r>
            <w:r>
              <w:rPr>
                <w:rFonts w:hint="eastAsia"/>
                <w:b/>
                <w:bCs/>
                <w:color w:val="auto"/>
                <w:sz w:val="21"/>
                <w:szCs w:val="21"/>
                <w:highlight w:val="none"/>
              </w:rPr>
              <w:t>、控制系统</w:t>
            </w:r>
          </w:p>
        </w:tc>
        <w:tc>
          <w:tcPr>
            <w:tcW w:w="6983"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auto"/>
                <w:sz w:val="21"/>
                <w:szCs w:val="21"/>
                <w:highlight w:val="none"/>
              </w:rPr>
            </w:pPr>
            <w:r>
              <w:rPr>
                <w:rFonts w:hint="eastAsia"/>
                <w:color w:val="auto"/>
                <w:sz w:val="21"/>
                <w:szCs w:val="21"/>
                <w:highlight w:val="none"/>
              </w:rPr>
              <w:t>控制主机：品牌电脑主机</w:t>
            </w:r>
          </w:p>
          <w:p>
            <w:pPr>
              <w:spacing w:line="240" w:lineRule="exact"/>
              <w:rPr>
                <w:color w:val="auto"/>
                <w:sz w:val="21"/>
                <w:szCs w:val="21"/>
                <w:highlight w:val="none"/>
              </w:rPr>
            </w:pPr>
            <w:r>
              <w:rPr>
                <w:rFonts w:hint="eastAsia"/>
                <w:color w:val="auto"/>
                <w:sz w:val="21"/>
                <w:szCs w:val="21"/>
                <w:highlight w:val="none"/>
              </w:rPr>
              <w:t>操作系统：其他</w:t>
            </w:r>
          </w:p>
          <w:p>
            <w:pPr>
              <w:spacing w:line="240" w:lineRule="exact"/>
              <w:rPr>
                <w:color w:val="auto"/>
                <w:sz w:val="21"/>
                <w:szCs w:val="21"/>
                <w:highlight w:val="none"/>
              </w:rPr>
            </w:pPr>
            <w:r>
              <w:rPr>
                <w:rFonts w:hint="eastAsia"/>
                <w:color w:val="auto"/>
                <w:sz w:val="21"/>
                <w:szCs w:val="21"/>
                <w:highlight w:val="none"/>
              </w:rPr>
              <w:t>控制方式：同步控制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rPr>
                <w:b/>
                <w:bCs/>
                <w:color w:val="auto"/>
                <w:sz w:val="21"/>
                <w:szCs w:val="21"/>
                <w:highlight w:val="none"/>
              </w:rPr>
            </w:pPr>
            <w:r>
              <w:rPr>
                <w:b/>
                <w:bCs/>
                <w:color w:val="auto"/>
                <w:sz w:val="21"/>
                <w:szCs w:val="21"/>
                <w:highlight w:val="none"/>
              </w:rPr>
              <w:t>5</w:t>
            </w:r>
            <w:r>
              <w:rPr>
                <w:rFonts w:hint="eastAsia"/>
                <w:b/>
                <w:bCs/>
                <w:color w:val="auto"/>
                <w:sz w:val="21"/>
                <w:szCs w:val="21"/>
                <w:highlight w:val="none"/>
              </w:rPr>
              <w:t>、主要技术参数</w:t>
            </w:r>
          </w:p>
        </w:tc>
        <w:tc>
          <w:tcPr>
            <w:tcW w:w="698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color w:val="auto"/>
                <w:sz w:val="21"/>
                <w:szCs w:val="21"/>
                <w:highlight w:val="none"/>
              </w:rPr>
            </w:pPr>
            <w:r>
              <w:rPr>
                <w:rFonts w:hint="eastAsia" w:ascii="宋体" w:hAnsi="宋体"/>
                <w:color w:val="auto"/>
                <w:sz w:val="21"/>
                <w:szCs w:val="21"/>
                <w:highlight w:val="none"/>
              </w:rPr>
              <w:t>LED像素失控率≤1/1000000，无连续失控点；</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使用寿命≥200000小时；</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亮度：4000cd/㎡；</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可调视角范围：水平、垂直均≥160°；</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亮度均匀性：≥98.3%；</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对比度：≥3000:1；</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刷新率：≥1920Hz；</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色域、色温：2800K-15000K连续可调，可设置冷暖色标准调节，色域≥110%；</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显示屏模组间拼接间隙≤0.09mm。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6、控制方式</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WINXP计算机+控制软件硬件+播放软件及硬件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7、保护技术</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防水、防潮、防虫、防尘、防腐蚀、防电磁干扰、阻燃。电器防护：过流、断路、短路、过压、欠压、超温、超负荷、断电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305" w:type="dxa"/>
            <w:tcBorders>
              <w:top w:val="single" w:color="auto" w:sz="4" w:space="0"/>
              <w:left w:val="thinThickSmallGap" w:color="auto" w:sz="24" w:space="0"/>
              <w:bottom w:val="single" w:color="auto" w:sz="4" w:space="0"/>
              <w:right w:val="single" w:color="auto" w:sz="4" w:space="0"/>
            </w:tcBorders>
          </w:tcPr>
          <w:p>
            <w:pPr>
              <w:pStyle w:val="3"/>
              <w:spacing w:line="240" w:lineRule="exact"/>
              <w:ind w:firstLine="0"/>
              <w:rPr>
                <w:b/>
                <w:bCs/>
                <w:color w:val="auto"/>
                <w:sz w:val="21"/>
                <w:szCs w:val="21"/>
                <w:highlight w:val="none"/>
              </w:rPr>
            </w:pPr>
            <w:r>
              <w:rPr>
                <w:b/>
                <w:bCs/>
                <w:color w:val="auto"/>
                <w:sz w:val="21"/>
                <w:szCs w:val="21"/>
                <w:highlight w:val="none"/>
              </w:rPr>
              <w:t>8</w:t>
            </w:r>
            <w:r>
              <w:rPr>
                <w:rFonts w:hint="eastAsia"/>
                <w:b/>
                <w:bCs/>
                <w:color w:val="auto"/>
                <w:sz w:val="21"/>
                <w:szCs w:val="21"/>
                <w:highlight w:val="none"/>
              </w:rPr>
              <w:t>、播放内容</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color w:val="auto"/>
                <w:sz w:val="21"/>
                <w:szCs w:val="21"/>
                <w:highlight w:val="none"/>
              </w:rPr>
              <w:t>文本文件，</w:t>
            </w:r>
            <w:r>
              <w:rPr>
                <w:color w:val="auto"/>
                <w:sz w:val="21"/>
                <w:szCs w:val="21"/>
                <w:highlight w:val="none"/>
              </w:rPr>
              <w:t>WORD</w:t>
            </w:r>
            <w:r>
              <w:rPr>
                <w:rFonts w:hint="eastAsia"/>
                <w:color w:val="auto"/>
                <w:sz w:val="21"/>
                <w:szCs w:val="21"/>
                <w:highlight w:val="none"/>
              </w:rPr>
              <w:t>文件、PPT文件，所有图片文件（</w:t>
            </w:r>
            <w:r>
              <w:rPr>
                <w:color w:val="auto"/>
                <w:sz w:val="21"/>
                <w:szCs w:val="21"/>
                <w:highlight w:val="none"/>
              </w:rPr>
              <w:t>BMP</w:t>
            </w:r>
            <w:r>
              <w:rPr>
                <w:rFonts w:hint="eastAsia"/>
                <w:color w:val="auto"/>
                <w:sz w:val="21"/>
                <w:szCs w:val="21"/>
                <w:highlight w:val="none"/>
              </w:rPr>
              <w:t>／</w:t>
            </w:r>
            <w:r>
              <w:rPr>
                <w:color w:val="auto"/>
                <w:sz w:val="21"/>
                <w:szCs w:val="21"/>
                <w:highlight w:val="none"/>
              </w:rPr>
              <w:t>JPG</w:t>
            </w:r>
            <w:r>
              <w:rPr>
                <w:rFonts w:hint="eastAsia"/>
                <w:color w:val="auto"/>
                <w:sz w:val="21"/>
                <w:szCs w:val="21"/>
                <w:highlight w:val="none"/>
              </w:rPr>
              <w:t>／</w:t>
            </w:r>
            <w:r>
              <w:rPr>
                <w:color w:val="auto"/>
                <w:sz w:val="21"/>
                <w:szCs w:val="21"/>
                <w:highlight w:val="none"/>
              </w:rPr>
              <w:t>GIF</w:t>
            </w:r>
            <w:r>
              <w:rPr>
                <w:rFonts w:hint="eastAsia"/>
                <w:color w:val="auto"/>
                <w:sz w:val="21"/>
                <w:szCs w:val="21"/>
                <w:highlight w:val="none"/>
              </w:rPr>
              <w:t>／</w:t>
            </w:r>
            <w:r>
              <w:rPr>
                <w:color w:val="auto"/>
                <w:sz w:val="21"/>
                <w:szCs w:val="21"/>
                <w:highlight w:val="none"/>
              </w:rPr>
              <w:t>PCX</w:t>
            </w:r>
            <w:r>
              <w:rPr>
                <w:rFonts w:hint="eastAsia"/>
                <w:color w:val="auto"/>
                <w:sz w:val="21"/>
                <w:szCs w:val="21"/>
                <w:highlight w:val="none"/>
              </w:rPr>
              <w:t>．．．），所有的动画文件（</w:t>
            </w:r>
            <w:r>
              <w:rPr>
                <w:color w:val="auto"/>
                <w:sz w:val="21"/>
                <w:szCs w:val="21"/>
                <w:highlight w:val="none"/>
              </w:rPr>
              <w:t xml:space="preserve">MPG </w:t>
            </w:r>
            <w:r>
              <w:rPr>
                <w:rFonts w:hint="eastAsia"/>
                <w:color w:val="auto"/>
                <w:sz w:val="21"/>
                <w:szCs w:val="21"/>
                <w:highlight w:val="none"/>
              </w:rPr>
              <w:t>／</w:t>
            </w:r>
            <w:r>
              <w:rPr>
                <w:color w:val="auto"/>
                <w:sz w:val="21"/>
                <w:szCs w:val="21"/>
                <w:highlight w:val="none"/>
              </w:rPr>
              <w:t>MPEG</w:t>
            </w:r>
            <w:r>
              <w:rPr>
                <w:rFonts w:hint="eastAsia"/>
                <w:color w:val="auto"/>
                <w:sz w:val="21"/>
                <w:szCs w:val="21"/>
                <w:highlight w:val="none"/>
              </w:rPr>
              <w:t>／</w:t>
            </w:r>
            <w:r>
              <w:rPr>
                <w:color w:val="auto"/>
                <w:sz w:val="21"/>
                <w:szCs w:val="21"/>
                <w:highlight w:val="none"/>
              </w:rPr>
              <w:t>MPV</w:t>
            </w:r>
            <w:r>
              <w:rPr>
                <w:rFonts w:hint="eastAsia"/>
                <w:color w:val="auto"/>
                <w:sz w:val="21"/>
                <w:szCs w:val="21"/>
                <w:highlight w:val="none"/>
              </w:rPr>
              <w:t>／</w:t>
            </w:r>
            <w:r>
              <w:rPr>
                <w:color w:val="auto"/>
                <w:sz w:val="21"/>
                <w:szCs w:val="21"/>
                <w:highlight w:val="none"/>
              </w:rPr>
              <w:t>MPA</w:t>
            </w:r>
            <w:r>
              <w:rPr>
                <w:rFonts w:hint="eastAsia"/>
                <w:color w:val="auto"/>
                <w:sz w:val="21"/>
                <w:szCs w:val="21"/>
                <w:highlight w:val="none"/>
              </w:rPr>
              <w:t>／</w:t>
            </w:r>
            <w:r>
              <w:rPr>
                <w:color w:val="auto"/>
                <w:sz w:val="21"/>
                <w:szCs w:val="21"/>
                <w:highlight w:val="none"/>
              </w:rPr>
              <w:t>AVI</w:t>
            </w:r>
            <w:r>
              <w:rPr>
                <w:rFonts w:hint="eastAsia"/>
                <w:color w:val="auto"/>
                <w:sz w:val="21"/>
                <w:szCs w:val="21"/>
                <w:highlight w:val="none"/>
              </w:rPr>
              <w:t>／</w:t>
            </w:r>
            <w:r>
              <w:rPr>
                <w:color w:val="auto"/>
                <w:sz w:val="21"/>
                <w:szCs w:val="21"/>
                <w:highlight w:val="none"/>
              </w:rPr>
              <w:t>VCD</w:t>
            </w:r>
            <w:r>
              <w:rPr>
                <w:rFonts w:hint="eastAsia"/>
                <w:color w:val="auto"/>
                <w:sz w:val="21"/>
                <w:szCs w:val="21"/>
                <w:highlight w:val="none"/>
              </w:rPr>
              <w:t>／</w:t>
            </w:r>
            <w:r>
              <w:rPr>
                <w:color w:val="auto"/>
                <w:sz w:val="21"/>
                <w:szCs w:val="21"/>
                <w:highlight w:val="none"/>
              </w:rPr>
              <w:t>SWF</w:t>
            </w:r>
            <w:r>
              <w:rPr>
                <w:rFonts w:hint="eastAsia"/>
                <w:color w:val="auto"/>
                <w:sz w:val="21"/>
                <w:szCs w:val="21"/>
                <w:highlight w:val="none"/>
              </w:rPr>
              <w:t>／</w:t>
            </w:r>
            <w:r>
              <w:rPr>
                <w:color w:val="auto"/>
                <w:sz w:val="21"/>
                <w:szCs w:val="21"/>
                <w:highlight w:val="none"/>
              </w:rPr>
              <w:t>RM</w:t>
            </w:r>
            <w:r>
              <w:rPr>
                <w:rFonts w:hint="eastAsia"/>
                <w:color w:val="auto"/>
                <w:sz w:val="21"/>
                <w:szCs w:val="21"/>
                <w:highlight w:val="none"/>
              </w:rPr>
              <w:t>／</w:t>
            </w:r>
            <w:r>
              <w:rPr>
                <w:color w:val="auto"/>
                <w:sz w:val="21"/>
                <w:szCs w:val="21"/>
                <w:highlight w:val="none"/>
              </w:rPr>
              <w:t>RA</w:t>
            </w:r>
            <w:r>
              <w:rPr>
                <w:rFonts w:hint="eastAsia"/>
                <w:color w:val="auto"/>
                <w:sz w:val="21"/>
                <w:szCs w:val="21"/>
                <w:highlight w:val="none"/>
              </w:rPr>
              <w:t>／</w:t>
            </w:r>
            <w:r>
              <w:rPr>
                <w:color w:val="auto"/>
                <w:sz w:val="21"/>
                <w:szCs w:val="21"/>
                <w:highlight w:val="none"/>
              </w:rPr>
              <w:t>RMJ</w:t>
            </w:r>
            <w:r>
              <w:rPr>
                <w:rFonts w:hint="eastAsia"/>
                <w:color w:val="auto"/>
                <w:sz w:val="21"/>
                <w:szCs w:val="21"/>
                <w:highlight w:val="none"/>
              </w:rPr>
              <w:t>／</w:t>
            </w:r>
            <w:r>
              <w:rPr>
                <w:color w:val="auto"/>
                <w:sz w:val="21"/>
                <w:szCs w:val="21"/>
                <w:highlight w:val="none"/>
              </w:rPr>
              <w:t>ASF</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9、拼装结构</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 xml:space="preserve">单元模组化结构设计，屏面采用前安装方式，组合拼装，组装拆卸，维修方便。 </w:t>
            </w:r>
          </w:p>
        </w:tc>
      </w:tr>
      <w:bookmarkEnd w:id="370"/>
    </w:tbl>
    <w:p>
      <w:pPr>
        <w:ind w:firstLine="420"/>
        <w:rPr>
          <w:rFonts w:ascii="黑体" w:eastAsia="黑体"/>
          <w:bCs/>
          <w:color w:val="auto"/>
          <w:sz w:val="32"/>
          <w:szCs w:val="32"/>
          <w:highlight w:val="none"/>
        </w:rPr>
      </w:pPr>
    </w:p>
    <w:p>
      <w:pPr>
        <w:pStyle w:val="2"/>
        <w:rPr>
          <w:rFonts w:ascii="宋体" w:hAnsi="宋体"/>
          <w:color w:val="auto"/>
          <w:sz w:val="24"/>
          <w:szCs w:val="24"/>
          <w:highlight w:val="none"/>
        </w:rPr>
      </w:pPr>
      <w:bookmarkStart w:id="400" w:name="_Toc25658"/>
      <w:bookmarkStart w:id="401" w:name="_Toc135743365"/>
      <w:bookmarkStart w:id="402" w:name="_Toc32379"/>
      <w:bookmarkStart w:id="403" w:name="_Toc30444"/>
      <w:bookmarkStart w:id="404" w:name="_Toc13700"/>
      <w:bookmarkStart w:id="405" w:name="_Toc13404"/>
      <w:bookmarkStart w:id="406" w:name="_Toc32757"/>
      <w:bookmarkStart w:id="407" w:name="_Toc21952"/>
      <w:bookmarkStart w:id="408" w:name="_Toc998"/>
      <w:bookmarkStart w:id="409" w:name="_Toc29308"/>
      <w:bookmarkStart w:id="410" w:name="_Toc28361"/>
      <w:r>
        <w:rPr>
          <w:rFonts w:hint="eastAsia"/>
          <w:color w:val="auto"/>
          <w:highlight w:val="none"/>
        </w:rPr>
        <w:t>二、室内全彩技术参数要求</w:t>
      </w:r>
      <w:bookmarkEnd w:id="400"/>
      <w:bookmarkEnd w:id="401"/>
      <w:bookmarkEnd w:id="402"/>
      <w:bookmarkEnd w:id="403"/>
      <w:bookmarkEnd w:id="404"/>
      <w:bookmarkEnd w:id="405"/>
      <w:bookmarkEnd w:id="406"/>
      <w:bookmarkEnd w:id="407"/>
      <w:bookmarkEnd w:id="408"/>
      <w:bookmarkEnd w:id="409"/>
      <w:bookmarkEnd w:id="410"/>
    </w:p>
    <w:p>
      <w:pPr>
        <w:pStyle w:val="10"/>
        <w:rPr>
          <w:color w:val="auto"/>
          <w:sz w:val="21"/>
          <w:szCs w:val="21"/>
          <w:highlight w:val="none"/>
        </w:rPr>
      </w:pPr>
      <w:bookmarkStart w:id="411" w:name="_Toc8035"/>
      <w:bookmarkStart w:id="412" w:name="_Toc135743366"/>
      <w:bookmarkStart w:id="413" w:name="_Toc31314"/>
      <w:bookmarkStart w:id="414" w:name="_Toc13638"/>
      <w:bookmarkStart w:id="415" w:name="_Toc3097"/>
      <w:bookmarkStart w:id="416" w:name="_Toc9885"/>
      <w:bookmarkStart w:id="417" w:name="_Toc7340"/>
      <w:bookmarkStart w:id="418" w:name="_Toc23912"/>
      <w:bookmarkStart w:id="419" w:name="_Toc28086"/>
      <w:bookmarkStart w:id="420" w:name="_Toc7468"/>
      <w:bookmarkStart w:id="421" w:name="_Toc21993"/>
      <w:r>
        <w:rPr>
          <w:color w:val="auto"/>
          <w:highlight w:val="none"/>
        </w:rPr>
        <w:t>1</w:t>
      </w:r>
      <w:r>
        <w:rPr>
          <w:rFonts w:hint="eastAsia"/>
          <w:color w:val="auto"/>
          <w:highlight w:val="none"/>
        </w:rPr>
        <w:t>．全彩</w:t>
      </w:r>
      <w:r>
        <w:rPr>
          <w:rFonts w:hint="eastAsia" w:ascii="宋体" w:hAnsi="宋体"/>
          <w:color w:val="auto"/>
          <w:highlight w:val="none"/>
        </w:rPr>
        <w:t>模组介绍</w:t>
      </w:r>
      <w:bookmarkEnd w:id="411"/>
      <w:bookmarkEnd w:id="412"/>
      <w:bookmarkEnd w:id="413"/>
      <w:bookmarkEnd w:id="414"/>
      <w:bookmarkEnd w:id="415"/>
      <w:bookmarkEnd w:id="416"/>
      <w:bookmarkEnd w:id="417"/>
      <w:bookmarkEnd w:id="418"/>
      <w:bookmarkEnd w:id="419"/>
      <w:bookmarkEnd w:id="420"/>
      <w:bookmarkEnd w:id="421"/>
    </w:p>
    <w:tbl>
      <w:tblPr>
        <w:tblStyle w:val="1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04"/>
        <w:gridCol w:w="2329"/>
        <w:gridCol w:w="1701"/>
        <w:gridCol w:w="35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504" w:type="dxa"/>
            <w:tcBorders>
              <w:top w:val="single" w:color="auto" w:sz="8" w:space="0"/>
              <w:left w:val="thinThickSmallGap" w:color="auto" w:sz="18" w:space="0"/>
              <w:bottom w:val="single" w:color="auto" w:sz="8" w:space="0"/>
              <w:right w:val="single" w:color="auto" w:sz="8" w:space="0"/>
            </w:tcBorders>
            <w:vAlign w:val="bottom"/>
          </w:tcPr>
          <w:p>
            <w:pPr>
              <w:rPr>
                <w:color w:val="auto"/>
                <w:sz w:val="21"/>
                <w:szCs w:val="21"/>
                <w:highlight w:val="none"/>
              </w:rPr>
            </w:pPr>
            <w:r>
              <w:rPr>
                <w:rFonts w:hint="eastAsia"/>
                <w:color w:val="auto"/>
                <w:sz w:val="21"/>
                <w:szCs w:val="21"/>
                <w:highlight w:val="none"/>
              </w:rPr>
              <w:t>尺寸（</w:t>
            </w:r>
            <w:r>
              <w:rPr>
                <w:color w:val="auto"/>
                <w:sz w:val="21"/>
                <w:szCs w:val="21"/>
                <w:highlight w:val="none"/>
              </w:rPr>
              <w:t>W×H</w:t>
            </w:r>
            <w:r>
              <w:rPr>
                <w:rFonts w:hint="eastAsia"/>
                <w:color w:val="auto"/>
                <w:sz w:val="21"/>
                <w:szCs w:val="21"/>
                <w:highlight w:val="none"/>
              </w:rPr>
              <w:t>）</w:t>
            </w:r>
          </w:p>
        </w:tc>
        <w:tc>
          <w:tcPr>
            <w:tcW w:w="7612" w:type="dxa"/>
            <w:gridSpan w:val="3"/>
            <w:tcBorders>
              <w:top w:val="single" w:color="auto" w:sz="8" w:space="0"/>
              <w:left w:val="single" w:color="auto" w:sz="8" w:space="0"/>
              <w:bottom w:val="single" w:color="auto" w:sz="8" w:space="0"/>
              <w:right w:val="single" w:color="auto" w:sz="8" w:space="0"/>
            </w:tcBorders>
            <w:vAlign w:val="bottom"/>
          </w:tcPr>
          <w:p>
            <w:pPr>
              <w:rPr>
                <w:color w:val="auto"/>
                <w:sz w:val="21"/>
                <w:szCs w:val="21"/>
                <w:highlight w:val="none"/>
              </w:rPr>
            </w:pPr>
            <w:r>
              <w:rPr>
                <w:rFonts w:hint="eastAsia"/>
                <w:color w:val="auto"/>
                <w:sz w:val="21"/>
                <w:szCs w:val="21"/>
                <w:highlight w:val="none"/>
              </w:rPr>
              <w:t>192</w:t>
            </w:r>
            <w:r>
              <w:rPr>
                <w:color w:val="auto"/>
                <w:sz w:val="21"/>
                <w:szCs w:val="21"/>
                <w:highlight w:val="none"/>
              </w:rPr>
              <w:t>mm×</w:t>
            </w:r>
            <w:r>
              <w:rPr>
                <w:rFonts w:hint="eastAsia"/>
                <w:color w:val="auto"/>
                <w:sz w:val="21"/>
                <w:szCs w:val="21"/>
                <w:highlight w:val="none"/>
              </w:rPr>
              <w:t>192</w:t>
            </w:r>
            <w:r>
              <w:rPr>
                <w:color w:val="auto"/>
                <w:sz w:val="21"/>
                <w:szCs w:val="21"/>
                <w:highlight w:val="none"/>
              </w:rPr>
              <w:t>mm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504" w:type="dxa"/>
            <w:tcBorders>
              <w:top w:val="single" w:color="auto" w:sz="8" w:space="0"/>
              <w:left w:val="thinThickSmallGap" w:color="auto" w:sz="18" w:space="0"/>
              <w:bottom w:val="single" w:color="auto" w:sz="8" w:space="0"/>
              <w:right w:val="single" w:color="auto" w:sz="8" w:space="0"/>
            </w:tcBorders>
            <w:vAlign w:val="bottom"/>
          </w:tcPr>
          <w:p>
            <w:pPr>
              <w:rPr>
                <w:color w:val="auto"/>
                <w:sz w:val="21"/>
                <w:szCs w:val="21"/>
                <w:highlight w:val="none"/>
              </w:rPr>
            </w:pPr>
            <w:r>
              <w:rPr>
                <w:rFonts w:hint="eastAsia"/>
                <w:color w:val="auto"/>
                <w:sz w:val="21"/>
                <w:szCs w:val="21"/>
                <w:highlight w:val="none"/>
              </w:rPr>
              <w:t>点间距（</w:t>
            </w:r>
            <w:r>
              <w:rPr>
                <w:color w:val="auto"/>
                <w:sz w:val="21"/>
                <w:szCs w:val="21"/>
                <w:highlight w:val="none"/>
              </w:rPr>
              <w:t>mm</w:t>
            </w:r>
            <w:r>
              <w:rPr>
                <w:rFonts w:hint="eastAsia"/>
                <w:color w:val="auto"/>
                <w:sz w:val="21"/>
                <w:szCs w:val="21"/>
                <w:highlight w:val="none"/>
              </w:rPr>
              <w:t>）</w:t>
            </w:r>
          </w:p>
        </w:tc>
        <w:tc>
          <w:tcPr>
            <w:tcW w:w="2329" w:type="dxa"/>
            <w:tcBorders>
              <w:top w:val="single" w:color="auto" w:sz="8" w:space="0"/>
              <w:left w:val="single" w:color="auto" w:sz="8" w:space="0"/>
              <w:bottom w:val="single" w:color="auto" w:sz="8" w:space="0"/>
              <w:right w:val="single" w:color="auto" w:sz="4" w:space="0"/>
            </w:tcBorders>
            <w:vAlign w:val="bottom"/>
          </w:tcPr>
          <w:p>
            <w:pPr>
              <w:rPr>
                <w:color w:val="auto"/>
                <w:sz w:val="21"/>
                <w:szCs w:val="21"/>
                <w:highlight w:val="none"/>
              </w:rPr>
            </w:pPr>
            <w:r>
              <w:rPr>
                <w:rFonts w:hint="eastAsia" w:ascii="宋体" w:hAnsi="宋体" w:cs="宋体"/>
                <w:color w:val="auto"/>
                <w:sz w:val="21"/>
                <w:szCs w:val="21"/>
                <w:highlight w:val="none"/>
              </w:rPr>
              <w:t>≦</w:t>
            </w:r>
            <w:r>
              <w:rPr>
                <w:rFonts w:hint="eastAsia"/>
                <w:color w:val="auto"/>
                <w:sz w:val="21"/>
                <w:szCs w:val="21"/>
                <w:highlight w:val="none"/>
              </w:rPr>
              <w:t>3</w:t>
            </w:r>
            <w:r>
              <w:rPr>
                <w:color w:val="auto"/>
                <w:sz w:val="21"/>
                <w:szCs w:val="21"/>
                <w:highlight w:val="none"/>
              </w:rPr>
              <w:t>mm</w:t>
            </w:r>
          </w:p>
        </w:tc>
        <w:tc>
          <w:tcPr>
            <w:tcW w:w="1701" w:type="dxa"/>
            <w:tcBorders>
              <w:top w:val="single" w:color="auto" w:sz="8" w:space="0"/>
              <w:left w:val="single" w:color="auto" w:sz="4" w:space="0"/>
              <w:bottom w:val="single" w:color="auto" w:sz="8" w:space="0"/>
              <w:right w:val="single" w:color="auto" w:sz="4" w:space="0"/>
            </w:tcBorders>
            <w:vAlign w:val="bottom"/>
          </w:tcPr>
          <w:p>
            <w:pPr>
              <w:rPr>
                <w:color w:val="auto"/>
                <w:sz w:val="21"/>
                <w:szCs w:val="21"/>
                <w:highlight w:val="none"/>
              </w:rPr>
            </w:pPr>
            <w:r>
              <w:rPr>
                <w:rFonts w:hint="eastAsia"/>
                <w:color w:val="auto"/>
                <w:sz w:val="21"/>
                <w:szCs w:val="21"/>
                <w:highlight w:val="none"/>
              </w:rPr>
              <w:t>像素点（点</w:t>
            </w:r>
            <w:r>
              <w:rPr>
                <w:color w:val="auto"/>
                <w:sz w:val="21"/>
                <w:szCs w:val="21"/>
                <w:highlight w:val="none"/>
              </w:rPr>
              <w:t>/ m</w:t>
            </w:r>
            <w:r>
              <w:rPr>
                <w:color w:val="auto"/>
                <w:sz w:val="21"/>
                <w:szCs w:val="21"/>
                <w:highlight w:val="none"/>
                <w:vertAlign w:val="superscript"/>
              </w:rPr>
              <w:t>2</w:t>
            </w:r>
            <w:r>
              <w:rPr>
                <w:rFonts w:hint="eastAsia"/>
                <w:color w:val="auto"/>
                <w:sz w:val="21"/>
                <w:szCs w:val="21"/>
                <w:highlight w:val="none"/>
              </w:rPr>
              <w:t>）</w:t>
            </w:r>
          </w:p>
        </w:tc>
        <w:tc>
          <w:tcPr>
            <w:tcW w:w="3582" w:type="dxa"/>
            <w:tcBorders>
              <w:top w:val="single" w:color="auto" w:sz="8" w:space="0"/>
              <w:left w:val="single" w:color="auto" w:sz="4" w:space="0"/>
              <w:bottom w:val="single" w:color="auto" w:sz="8" w:space="0"/>
              <w:right w:val="single" w:color="auto" w:sz="8" w:space="0"/>
            </w:tcBorders>
            <w:vAlign w:val="bottom"/>
          </w:tcPr>
          <w:p>
            <w:pPr>
              <w:rPr>
                <w:color w:val="auto"/>
                <w:sz w:val="21"/>
                <w:szCs w:val="21"/>
                <w:highlight w:val="none"/>
              </w:rPr>
            </w:pPr>
            <w:r>
              <w:rPr>
                <w:rFonts w:ascii="Arial" w:hAnsi="Arial" w:cs="Arial"/>
                <w:color w:val="auto"/>
                <w:sz w:val="21"/>
                <w:szCs w:val="21"/>
                <w:highlight w:val="none"/>
              </w:rPr>
              <w:t>≥</w:t>
            </w:r>
            <w:r>
              <w:rPr>
                <w:rFonts w:hint="eastAsia"/>
                <w:color w:val="auto"/>
                <w:sz w:val="21"/>
                <w:szCs w:val="21"/>
                <w:highlight w:val="none"/>
              </w:rPr>
              <w:t>11111点数</w:t>
            </w:r>
            <w:r>
              <w:rPr>
                <w:color w:val="auto"/>
                <w:sz w:val="21"/>
                <w:szCs w:val="21"/>
                <w:highlight w:val="none"/>
              </w:rPr>
              <w:t>/m</w:t>
            </w:r>
            <w:r>
              <w:rPr>
                <w:color w:val="auto"/>
                <w:sz w:val="21"/>
                <w:szCs w:val="21"/>
                <w:highlight w:val="none"/>
                <w:vertAlign w:val="superscript"/>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504" w:type="dxa"/>
            <w:tcBorders>
              <w:top w:val="single" w:color="auto" w:sz="8" w:space="0"/>
              <w:left w:val="thinThickSmallGap" w:color="auto" w:sz="18" w:space="0"/>
              <w:bottom w:val="single" w:color="auto" w:sz="8" w:space="0"/>
              <w:right w:val="single" w:color="auto" w:sz="8" w:space="0"/>
            </w:tcBorders>
            <w:vAlign w:val="bottom"/>
          </w:tcPr>
          <w:p>
            <w:pPr>
              <w:spacing w:line="240" w:lineRule="exact"/>
              <w:rPr>
                <w:color w:val="auto"/>
                <w:sz w:val="21"/>
                <w:szCs w:val="21"/>
                <w:highlight w:val="none"/>
              </w:rPr>
            </w:pPr>
            <w:r>
              <w:rPr>
                <w:rFonts w:hint="eastAsia"/>
                <w:color w:val="auto"/>
                <w:sz w:val="21"/>
                <w:szCs w:val="21"/>
                <w:highlight w:val="none"/>
              </w:rPr>
              <w:t>分辨率（</w:t>
            </w:r>
            <w:r>
              <w:rPr>
                <w:color w:val="auto"/>
                <w:sz w:val="21"/>
                <w:szCs w:val="21"/>
                <w:highlight w:val="none"/>
              </w:rPr>
              <w:t>W×H</w:t>
            </w:r>
            <w:r>
              <w:rPr>
                <w:rFonts w:hint="eastAsia"/>
                <w:color w:val="auto"/>
                <w:sz w:val="21"/>
                <w:szCs w:val="21"/>
                <w:highlight w:val="none"/>
              </w:rPr>
              <w:t>）</w:t>
            </w:r>
          </w:p>
        </w:tc>
        <w:tc>
          <w:tcPr>
            <w:tcW w:w="2329" w:type="dxa"/>
            <w:tcBorders>
              <w:top w:val="single" w:color="auto" w:sz="8" w:space="0"/>
              <w:left w:val="single" w:color="auto" w:sz="8" w:space="0"/>
              <w:bottom w:val="single" w:color="auto" w:sz="8" w:space="0"/>
              <w:right w:val="single" w:color="auto" w:sz="4" w:space="0"/>
            </w:tcBorders>
            <w:vAlign w:val="center"/>
          </w:tcPr>
          <w:p>
            <w:pPr>
              <w:spacing w:line="240" w:lineRule="exact"/>
              <w:rPr>
                <w:color w:val="auto"/>
                <w:sz w:val="21"/>
                <w:szCs w:val="21"/>
                <w:highlight w:val="none"/>
              </w:rPr>
            </w:pPr>
            <w:r>
              <w:rPr>
                <w:rFonts w:hint="eastAsia" w:ascii="宋体" w:hAnsi="宋体" w:cs="宋体"/>
                <w:color w:val="auto"/>
                <w:sz w:val="21"/>
                <w:szCs w:val="21"/>
                <w:highlight w:val="none"/>
              </w:rPr>
              <w:t>≥64点×64点</w:t>
            </w:r>
          </w:p>
        </w:tc>
        <w:tc>
          <w:tcPr>
            <w:tcW w:w="1701" w:type="dxa"/>
            <w:tcBorders>
              <w:top w:val="single" w:color="auto" w:sz="8" w:space="0"/>
              <w:left w:val="single" w:color="auto" w:sz="4" w:space="0"/>
              <w:bottom w:val="single" w:color="auto" w:sz="8" w:space="0"/>
              <w:right w:val="single" w:color="auto" w:sz="4" w:space="0"/>
            </w:tcBorders>
            <w:vAlign w:val="bottom"/>
          </w:tcPr>
          <w:p>
            <w:pPr>
              <w:rPr>
                <w:color w:val="auto"/>
                <w:sz w:val="21"/>
                <w:szCs w:val="21"/>
                <w:highlight w:val="none"/>
              </w:rPr>
            </w:pPr>
            <w:r>
              <w:rPr>
                <w:rFonts w:hint="eastAsia"/>
                <w:color w:val="auto"/>
                <w:sz w:val="21"/>
                <w:szCs w:val="21"/>
                <w:highlight w:val="none"/>
              </w:rPr>
              <w:t>重</w:t>
            </w:r>
            <w:r>
              <w:rPr>
                <w:color w:val="auto"/>
                <w:sz w:val="21"/>
                <w:szCs w:val="21"/>
                <w:highlight w:val="none"/>
              </w:rPr>
              <w:t xml:space="preserve"> </w:t>
            </w:r>
            <w:r>
              <w:rPr>
                <w:rFonts w:hint="eastAsia"/>
                <w:color w:val="auto"/>
                <w:sz w:val="21"/>
                <w:szCs w:val="21"/>
                <w:highlight w:val="none"/>
              </w:rPr>
              <w:t>量（</w:t>
            </w:r>
            <w:r>
              <w:rPr>
                <w:color w:val="auto"/>
                <w:sz w:val="21"/>
                <w:szCs w:val="21"/>
                <w:highlight w:val="none"/>
              </w:rPr>
              <w:t>kg/</w:t>
            </w:r>
            <w:r>
              <w:rPr>
                <w:rFonts w:hint="eastAsia"/>
                <w:color w:val="auto"/>
                <w:sz w:val="21"/>
                <w:szCs w:val="21"/>
                <w:highlight w:val="none"/>
              </w:rPr>
              <w:t>个）</w:t>
            </w:r>
          </w:p>
        </w:tc>
        <w:tc>
          <w:tcPr>
            <w:tcW w:w="3582" w:type="dxa"/>
            <w:tcBorders>
              <w:top w:val="single" w:color="auto" w:sz="8" w:space="0"/>
              <w:left w:val="single" w:color="auto" w:sz="4" w:space="0"/>
              <w:bottom w:val="single" w:color="auto" w:sz="8" w:space="0"/>
              <w:right w:val="single" w:color="auto" w:sz="8" w:space="0"/>
            </w:tcBorders>
            <w:vAlign w:val="bottom"/>
          </w:tcPr>
          <w:p>
            <w:pPr>
              <w:rPr>
                <w:color w:val="auto"/>
                <w:sz w:val="21"/>
                <w:szCs w:val="21"/>
                <w:highlight w:val="none"/>
              </w:rPr>
            </w:pPr>
            <w:r>
              <w:rPr>
                <w:rFonts w:hint="eastAsia" w:ascii="宋体" w:hAnsi="宋体" w:cs="宋体"/>
                <w:color w:val="auto"/>
                <w:sz w:val="21"/>
                <w:szCs w:val="21"/>
                <w:highlight w:val="none"/>
              </w:rPr>
              <w:t>≦</w:t>
            </w:r>
            <w:r>
              <w:rPr>
                <w:color w:val="auto"/>
                <w:sz w:val="21"/>
                <w:szCs w:val="21"/>
                <w:highlight w:val="none"/>
              </w:rPr>
              <w:t>0.</w:t>
            </w:r>
            <w:r>
              <w:rPr>
                <w:rFonts w:hint="eastAsia"/>
                <w:color w:val="auto"/>
                <w:sz w:val="21"/>
                <w:szCs w:val="21"/>
                <w:highlight w:val="none"/>
              </w:rPr>
              <w:t>6</w:t>
            </w:r>
            <w:r>
              <w:rPr>
                <w:color w:val="auto"/>
                <w:sz w:val="21"/>
                <w:szCs w:val="21"/>
                <w:highlight w:val="none"/>
              </w:rPr>
              <w:t>kg/</w:t>
            </w:r>
            <w:r>
              <w:rPr>
                <w:rFonts w:hint="eastAsia"/>
                <w:color w:val="auto"/>
                <w:sz w:val="21"/>
                <w:szCs w:val="21"/>
                <w:highlight w:val="none"/>
              </w:rPr>
              <w:t>个</w:t>
            </w:r>
          </w:p>
        </w:tc>
      </w:tr>
    </w:tbl>
    <w:p>
      <w:pPr>
        <w:pStyle w:val="10"/>
        <w:rPr>
          <w:color w:val="auto"/>
          <w:highlight w:val="none"/>
        </w:rPr>
      </w:pPr>
      <w:bookmarkStart w:id="422" w:name="_Toc32334"/>
      <w:bookmarkStart w:id="423" w:name="_Toc8251"/>
      <w:bookmarkStart w:id="424" w:name="_Toc16467"/>
      <w:bookmarkStart w:id="425" w:name="_Toc29490"/>
      <w:bookmarkStart w:id="426" w:name="_Toc23548"/>
      <w:bookmarkStart w:id="427" w:name="_Toc25100"/>
      <w:bookmarkStart w:id="428" w:name="_Toc135743367"/>
      <w:bookmarkStart w:id="429" w:name="_Toc2171"/>
      <w:bookmarkStart w:id="430" w:name="_Toc31794"/>
      <w:bookmarkStart w:id="431" w:name="_Toc16824"/>
      <w:bookmarkStart w:id="432" w:name="_Toc3904"/>
      <w:r>
        <w:rPr>
          <w:color w:val="auto"/>
          <w:highlight w:val="none"/>
        </w:rPr>
        <w:t>2</w:t>
      </w:r>
      <w:r>
        <w:rPr>
          <w:rFonts w:hint="eastAsia"/>
          <w:color w:val="auto"/>
          <w:highlight w:val="none"/>
        </w:rPr>
        <w:t>．管芯参数</w:t>
      </w:r>
      <w:bookmarkEnd w:id="422"/>
      <w:bookmarkEnd w:id="423"/>
      <w:bookmarkEnd w:id="424"/>
      <w:bookmarkEnd w:id="425"/>
      <w:bookmarkEnd w:id="426"/>
      <w:bookmarkEnd w:id="427"/>
      <w:bookmarkEnd w:id="428"/>
      <w:bookmarkEnd w:id="429"/>
      <w:bookmarkEnd w:id="430"/>
      <w:bookmarkEnd w:id="431"/>
      <w:bookmarkEnd w:id="432"/>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337"/>
        <w:gridCol w:w="1403"/>
        <w:gridCol w:w="1187"/>
        <w:gridCol w:w="1003"/>
        <w:gridCol w:w="772"/>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1" w:type="dxa"/>
            <w:tcBorders>
              <w:top w:val="thinThickSmallGap" w:color="auto" w:sz="18" w:space="0"/>
              <w:left w:val="thinThickSmallGap" w:color="auto" w:sz="18"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t>LED</w:t>
            </w:r>
          </w:p>
        </w:tc>
        <w:tc>
          <w:tcPr>
            <w:tcW w:w="1740" w:type="dxa"/>
            <w:gridSpan w:val="2"/>
            <w:tcBorders>
              <w:top w:val="thinThickSmallGap" w:color="auto" w:sz="18"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波长（</w:t>
            </w:r>
            <w:r>
              <w:rPr>
                <w:color w:val="auto"/>
                <w:sz w:val="21"/>
                <w:szCs w:val="21"/>
                <w:highlight w:val="none"/>
              </w:rPr>
              <w:t>Typ</w:t>
            </w:r>
            <w:r>
              <w:rPr>
                <w:rFonts w:hint="eastAsia"/>
                <w:color w:val="auto"/>
                <w:sz w:val="21"/>
                <w:szCs w:val="21"/>
                <w:highlight w:val="none"/>
              </w:rPr>
              <w:t>）</w:t>
            </w:r>
          </w:p>
        </w:tc>
        <w:tc>
          <w:tcPr>
            <w:tcW w:w="2190" w:type="dxa"/>
            <w:gridSpan w:val="2"/>
            <w:tcBorders>
              <w:top w:val="thinThickSmallGap" w:color="auto" w:sz="18"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厂</w:t>
            </w:r>
            <w:r>
              <w:rPr>
                <w:color w:val="auto"/>
                <w:sz w:val="21"/>
                <w:szCs w:val="21"/>
                <w:highlight w:val="none"/>
              </w:rPr>
              <w:t xml:space="preserve"> </w:t>
            </w:r>
            <w:r>
              <w:rPr>
                <w:rFonts w:hint="eastAsia"/>
                <w:color w:val="auto"/>
                <w:sz w:val="21"/>
                <w:szCs w:val="21"/>
                <w:highlight w:val="none"/>
              </w:rPr>
              <w:t>家</w:t>
            </w:r>
          </w:p>
        </w:tc>
        <w:tc>
          <w:tcPr>
            <w:tcW w:w="3585" w:type="dxa"/>
            <w:gridSpan w:val="2"/>
            <w:tcBorders>
              <w:top w:val="thinThickSmallGap" w:color="auto" w:sz="18"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视角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01" w:type="dxa"/>
            <w:tcBorders>
              <w:top w:val="single" w:color="auto" w:sz="4" w:space="0"/>
              <w:left w:val="thinThickSmallGap" w:color="auto" w:sz="18"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drawing>
                <wp:inline distT="0" distB="0" distL="0" distR="0">
                  <wp:extent cx="400050" cy="219075"/>
                  <wp:effectExtent l="19050" t="0" r="0" b="0"/>
                  <wp:docPr id="285746978" name="图片 285746978" descr="红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746978" name="图片 285746978" descr="红灯"/>
                          <pic:cNvPicPr>
                            <a:picLocks noChangeAspect="1" noChangeArrowheads="1"/>
                          </pic:cNvPicPr>
                        </pic:nvPicPr>
                        <pic:blipFill>
                          <a:blip r:embed="rId16" cstate="print"/>
                          <a:srcRect/>
                          <a:stretch>
                            <a:fillRect/>
                          </a:stretch>
                        </pic:blipFill>
                        <pic:spPr>
                          <a:xfrm>
                            <a:off x="0" y="0"/>
                            <a:ext cx="400050" cy="219075"/>
                          </a:xfrm>
                          <a:prstGeom prst="rect">
                            <a:avLst/>
                          </a:prstGeom>
                          <a:noFill/>
                          <a:ln w="9525">
                            <a:noFill/>
                            <a:miter lim="800000"/>
                            <a:headEnd/>
                            <a:tailEnd/>
                          </a:ln>
                        </pic:spPr>
                      </pic:pic>
                    </a:graphicData>
                  </a:graphic>
                </wp:inline>
              </w:drawing>
            </w:r>
          </w:p>
        </w:tc>
        <w:tc>
          <w:tcPr>
            <w:tcW w:w="174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t>620-625nm</w:t>
            </w:r>
          </w:p>
        </w:tc>
        <w:tc>
          <w:tcPr>
            <w:tcW w:w="219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士兰\晶瀚\晶元</w:t>
            </w:r>
          </w:p>
        </w:tc>
        <w:tc>
          <w:tcPr>
            <w:tcW w:w="3585"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mc:AlternateContent>
                <mc:Choice Requires="wps">
                  <w:drawing>
                    <wp:anchor distT="0" distB="0" distL="114300" distR="114300" simplePos="0" relativeHeight="251665408" behindDoc="0" locked="0" layoutInCell="1" allowOverlap="1">
                      <wp:simplePos x="0" y="0"/>
                      <wp:positionH relativeFrom="column">
                        <wp:posOffset>1725295</wp:posOffset>
                      </wp:positionH>
                      <wp:positionV relativeFrom="paragraph">
                        <wp:posOffset>318135</wp:posOffset>
                      </wp:positionV>
                      <wp:extent cx="266700" cy="417195"/>
                      <wp:effectExtent l="0" t="0" r="0" b="1905"/>
                      <wp:wrapNone/>
                      <wp:docPr id="6" name="矩形 31"/>
                      <wp:cNvGraphicFramePr/>
                      <a:graphic xmlns:a="http://schemas.openxmlformats.org/drawingml/2006/main">
                        <a:graphicData uri="http://schemas.microsoft.com/office/word/2010/wordprocessingShape">
                          <wps:wsp>
                            <wps:cNvSpPr/>
                            <wps:spPr>
                              <a:xfrm>
                                <a:off x="0" y="0"/>
                                <a:ext cx="266700" cy="417195"/>
                              </a:xfrm>
                              <a:prstGeom prst="rect">
                                <a:avLst/>
                              </a:prstGeom>
                              <a:solidFill>
                                <a:srgbClr val="FFFFFF"/>
                              </a:solidFill>
                              <a:ln>
                                <a:noFill/>
                              </a:ln>
                            </wps:spPr>
                            <wps:txbx>
                              <w:txbxContent>
                                <w:p>
                                  <w:pPr>
                                    <w:rPr>
                                      <w:szCs w:val="21"/>
                                    </w:rPr>
                                  </w:pPr>
                                  <w:r>
                                    <w:rPr>
                                      <w:szCs w:val="21"/>
                                    </w:rPr>
                                    <w:t>50°</w:t>
                                  </w:r>
                                </w:p>
                              </w:txbxContent>
                            </wps:txbx>
                            <wps:bodyPr lIns="0" tIns="0" rIns="0" bIns="0" upright="1"/>
                          </wps:wsp>
                        </a:graphicData>
                      </a:graphic>
                    </wp:anchor>
                  </w:drawing>
                </mc:Choice>
                <mc:Fallback>
                  <w:pict>
                    <v:rect id="矩形 31" o:spid="_x0000_s1026" o:spt="1" style="position:absolute;left:0pt;margin-left:135.85pt;margin-top:25.05pt;height:32.85pt;width:21pt;z-index:251665408;mso-width-relative:page;mso-height-relative:page;" fillcolor="#FFFFFF" filled="t" stroked="f" coordsize="21600,21600" o:gfxdata="UEsDBAoAAAAAAIdO4kAAAAAAAAAAAAAAAAAEAAAAZHJzL1BLAwQUAAAACACHTuJAfiZQM9YAAAAK&#10;AQAADwAAAGRycy9kb3ducmV2LnhtbE2PTU/DMAyG70j8h8hI3FiSTWNTaboDH9qZMsQ1a0xbSJyq&#10;SbfCr8ec4Gj70evnLXdz8OKEY+ojGdALBQKpia6n1sDh5elmCyJlS876SGjgCxPsqsuL0hYunukZ&#10;T3VuBYdQKqyBLuehkDI1HQabFnFA4tt7HIPNPI6tdKM9c3jwcqnUrQy2J/7Q2QHvO2w+6ykY2OuH&#10;x+FDftd27zNOr93c+LfZmOsrre5AZJzzHwy/+qwOFTsd40QuCW9gudEbRg2slQbBwEqveHFkUq+3&#10;IKtS/q9Q/QBQSwMEFAAAAAgAh07iQEr71jPEAQAAjgMAAA4AAABkcnMvZTJvRG9jLnhtbK1TS27b&#10;MBDdF8gdCO5rSW7qtILlLGK4KFC0AZIegKIoiQB/GNKWfJoC3fUQPU7Ra3RIyU6TbLKIFtIbcvhm&#10;3htqfT1qRQ4CvLSmosUip0QYbhtpuop+v9+9/UCJD8w0TFkjKnoUnl5vLt6sB1eKpe2tagQQJDG+&#10;HFxF+xBcmWWe90Izv7BOGNxsLWgWMIQua4ANyK5VtszzVTZYaBxYLrzH1e20SWdGeAmhbVvJxdby&#10;vRYmTKwgFAsoyffSebpJ3bat4OFb23oRiKooKg3pjUUQ1/Gdbdas7IC5XvK5BfaSFp5o0kwaLHqm&#10;2rLAyB7kMyotOVhv27DgVmeTkOQIqijyJ97c9cyJpAWt9u5sun89Wv71cAtENhVdUWKYxoH//fHr&#10;z++f5F0RzRmcLzHnzt3CHHmEUenYgo5f1EDGZOjxbKgYA+G4uFytrnK0muPWZXFVfHwfObOHww58&#10;+CSsJhFUFHBeyUZ2+OLDlHpKibW8VbLZSaVSAF19o4AcGM52l56Z/VGaMjHZ2HhsYowrWRQ2SYko&#10;jPU466ttc0RL1GeDNscrcwJwAvUJ7B3Irse+k1WJEseUBM5XKt6D/+NU+OE32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iZQM9YAAAAKAQAADwAAAAAAAAABACAAAAAiAAAAZHJzL2Rvd25yZXYu&#10;eG1sUEsBAhQAFAAAAAgAh07iQEr71jPEAQAAjgMAAA4AAAAAAAAAAQAgAAAAJQEAAGRycy9lMm9E&#10;b2MueG1sUEsFBgAAAAAGAAYAWQEAAFsFAAAAAA==&#10;">
                      <v:fill on="t" focussize="0,0"/>
                      <v:stroke on="f"/>
                      <v:imagedata o:title=""/>
                      <o:lock v:ext="edit" aspectratio="f"/>
                      <v:textbox inset="0mm,0mm,0mm,0mm">
                        <w:txbxContent>
                          <w:p>
                            <w:pPr>
                              <w:rPr>
                                <w:szCs w:val="21"/>
                              </w:rPr>
                            </w:pPr>
                            <w:r>
                              <w:rPr>
                                <w:szCs w:val="21"/>
                              </w:rPr>
                              <w:t>50°</w:t>
                            </w:r>
                          </w:p>
                        </w:txbxContent>
                      </v:textbox>
                    </v:rect>
                  </w:pict>
                </mc:Fallback>
              </mc:AlternateContent>
            </w:r>
            <w:r>
              <w:rPr>
                <w:color w:val="auto"/>
                <w:sz w:val="21"/>
                <w:szCs w:val="21"/>
                <w:highlight w:val="none"/>
              </w:rPr>
              <w:drawing>
                <wp:anchor distT="0" distB="0" distL="114300" distR="114300" simplePos="0" relativeHeight="251663360" behindDoc="0" locked="0" layoutInCell="1" allowOverlap="1">
                  <wp:simplePos x="0" y="0"/>
                  <wp:positionH relativeFrom="column">
                    <wp:posOffset>1039495</wp:posOffset>
                  </wp:positionH>
                  <wp:positionV relativeFrom="paragraph">
                    <wp:posOffset>202565</wp:posOffset>
                  </wp:positionV>
                  <wp:extent cx="676910" cy="429260"/>
                  <wp:effectExtent l="19050" t="0" r="8890" b="0"/>
                  <wp:wrapNone/>
                  <wp:docPr id="151453557" name="图片 1514535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53557" name="图片 151453557" descr="1"/>
                          <pic:cNvPicPr>
                            <a:picLocks noChangeAspect="1" noChangeArrowheads="1"/>
                          </pic:cNvPicPr>
                        </pic:nvPicPr>
                        <pic:blipFill>
                          <a:blip r:embed="rId17" cstate="print"/>
                          <a:srcRect/>
                          <a:stretch>
                            <a:fillRect/>
                          </a:stretch>
                        </pic:blipFill>
                        <pic:spPr>
                          <a:xfrm>
                            <a:off x="0" y="0"/>
                            <a:ext cx="676910" cy="429260"/>
                          </a:xfrm>
                          <a:prstGeom prst="rect">
                            <a:avLst/>
                          </a:prstGeom>
                          <a:noFill/>
                          <a:ln w="9525">
                            <a:noFill/>
                            <a:miter lim="800000"/>
                            <a:headEnd/>
                            <a:tailEnd/>
                          </a:ln>
                        </pic:spPr>
                      </pic:pic>
                    </a:graphicData>
                  </a:graphic>
                </wp:anchor>
              </w:drawing>
            </w:r>
            <w:r>
              <w:rPr>
                <w:color w:val="auto"/>
                <w:sz w:val="21"/>
                <w:szCs w:val="21"/>
                <w:highlight w:val="none"/>
              </w:rPr>
              <w:drawing>
                <wp:anchor distT="0" distB="0" distL="114300" distR="114300" simplePos="0" relativeHeight="251664384" behindDoc="0" locked="0" layoutInCell="1" allowOverlap="1">
                  <wp:simplePos x="0" y="0"/>
                  <wp:positionH relativeFrom="column">
                    <wp:posOffset>302895</wp:posOffset>
                  </wp:positionH>
                  <wp:positionV relativeFrom="paragraph">
                    <wp:posOffset>75565</wp:posOffset>
                  </wp:positionV>
                  <wp:extent cx="733425" cy="647065"/>
                  <wp:effectExtent l="19050" t="0" r="9525" b="0"/>
                  <wp:wrapNone/>
                  <wp:docPr id="1816404557" name="图片 181640455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404557" name="图片 1816404557" descr="2"/>
                          <pic:cNvPicPr>
                            <a:picLocks noChangeAspect="1" noChangeArrowheads="1"/>
                          </pic:cNvPicPr>
                        </pic:nvPicPr>
                        <pic:blipFill>
                          <a:blip r:embed="rId18" cstate="print"/>
                          <a:srcRect/>
                          <a:stretch>
                            <a:fillRect/>
                          </a:stretch>
                        </pic:blipFill>
                        <pic:spPr>
                          <a:xfrm>
                            <a:off x="0" y="0"/>
                            <a:ext cx="733425" cy="647065"/>
                          </a:xfrm>
                          <a:prstGeom prst="rect">
                            <a:avLst/>
                          </a:prstGeom>
                          <a:noFill/>
                          <a:ln w="9525">
                            <a:noFill/>
                            <a:miter lim="800000"/>
                            <a:headEnd/>
                            <a:tailEnd/>
                          </a:ln>
                        </pic:spPr>
                      </pic:pic>
                    </a:graphicData>
                  </a:graphic>
                </wp:anchor>
              </w:drawing>
            </w:r>
            <w:r>
              <w:rPr>
                <w:color w:val="auto"/>
                <w:sz w:val="21"/>
                <w:szCs w:val="21"/>
                <w:highlight w:val="none"/>
              </w:rPr>
              <mc:AlternateContent>
                <mc:Choice Requires="wps">
                  <w:drawing>
                    <wp:anchor distT="0" distB="0" distL="114300" distR="114300" simplePos="0" relativeHeight="251666432" behindDoc="0" locked="0" layoutInCell="1" allowOverlap="1">
                      <wp:simplePos x="0" y="0"/>
                      <wp:positionH relativeFrom="column">
                        <wp:posOffset>521970</wp:posOffset>
                      </wp:positionH>
                      <wp:positionV relativeFrom="paragraph">
                        <wp:posOffset>75565</wp:posOffset>
                      </wp:positionV>
                      <wp:extent cx="266700" cy="198120"/>
                      <wp:effectExtent l="0" t="0" r="0" b="5080"/>
                      <wp:wrapNone/>
                      <wp:docPr id="7" name="矩形 32"/>
                      <wp:cNvGraphicFramePr/>
                      <a:graphic xmlns:a="http://schemas.openxmlformats.org/drawingml/2006/main">
                        <a:graphicData uri="http://schemas.microsoft.com/office/word/2010/wordprocessingShape">
                          <wps:wsp>
                            <wps:cNvSpPr/>
                            <wps:spPr>
                              <a:xfrm>
                                <a:off x="0" y="0"/>
                                <a:ext cx="266700" cy="198120"/>
                              </a:xfrm>
                              <a:prstGeom prst="rect">
                                <a:avLst/>
                              </a:prstGeom>
                              <a:solidFill>
                                <a:srgbClr val="FFFFFF"/>
                              </a:solidFill>
                              <a:ln>
                                <a:noFill/>
                              </a:ln>
                            </wps:spPr>
                            <wps:txbx>
                              <w:txbxContent>
                                <w:p>
                                  <w:pPr>
                                    <w:rPr>
                                      <w:szCs w:val="21"/>
                                    </w:rPr>
                                  </w:pPr>
                                  <w:r>
                                    <w:rPr>
                                      <w:szCs w:val="21"/>
                                    </w:rPr>
                                    <w:t>110°</w:t>
                                  </w:r>
                                </w:p>
                              </w:txbxContent>
                            </wps:txbx>
                            <wps:bodyPr lIns="0" tIns="0" rIns="0" bIns="0" upright="1"/>
                          </wps:wsp>
                        </a:graphicData>
                      </a:graphic>
                    </wp:anchor>
                  </w:drawing>
                </mc:Choice>
                <mc:Fallback>
                  <w:pict>
                    <v:rect id="矩形 32" o:spid="_x0000_s1026" o:spt="1" style="position:absolute;left:0pt;margin-left:41.1pt;margin-top:5.95pt;height:15.6pt;width:21pt;z-index:251666432;mso-width-relative:page;mso-height-relative:page;" fillcolor="#FFFFFF" filled="t" stroked="f" coordsize="21600,21600" o:gfxdata="UEsDBAoAAAAAAIdO4kAAAAAAAAAAAAAAAAAEAAAAZHJzL1BLAwQUAAAACACHTuJAynZwQ9MAAAAI&#10;AQAADwAAAGRycy9kb3ducmV2LnhtbE2PS0/DMBCE70j8B2uRuFHHoUIlxOmBh3omgLhu4yUO+BHF&#10;Thv49WxPcNyZ0ew39XbxThxoSkMMGtSqAEGhi2YIvYbXl6erDYiUMRh0MZCGb0qwbc7PaqxMPIZn&#10;OrS5F1wSUoUabM5jJWXqLHlMqzhSYO8jTh4zn1MvzYRHLvdOlkVxIz0OgT9YHOneUvfVzl7DTj08&#10;jp/yp8WdyzS/2aVz74vWlxequAORacl/YTjhMzo0zLSPczBJOA2bsuQk6+oWxMkv1yzsNayvFcim&#10;lv8HNL9QSwMEFAAAAAgAh07iQFiqKwnGAQAAjgMAAA4AAABkcnMvZTJvRG9jLnhtbK1TS27bMBDd&#10;F8gdCO5rfQo4qWA5ixoOChRtgLQHoChKIsAfhrQln6ZAdz1Ej1P0Gh1SstMkmyyqBTXDGb6Z94bc&#10;3E5akaMAL62pabHKKRGG21aavqbfvu7f3lDiAzMtU9aImp6Ep7fbqzeb0VWitINVrQCCIMZXo6vp&#10;EIKrsszzQWjmV9YJg8HOgmYBXeizFtiI6FplZZ6vs9FC68By4T3u7uYgXRDhNYC26yQXO8sPWpgw&#10;o4JQLCAlP0jn6TZ123WChy9d50UgqqbINKQVi6DdxDXbbljVA3OD5EsL7DUtPOOkmTRY9AK1Y4GR&#10;A8gXUFpysN52YcWtzmYiSRFkUeTPtHkYmBOJC0rt3UV0//9g+efjPRDZ1vSaEsM0DvzP95+/f/0g&#10;78oozuh8hTkP7h4Wz6MZmU4d6PhHDmRKgp4ugoopEI6b5Xp9naPUHEPF+5uiTIJnj4cd+HAnrCbR&#10;qCngvJKM7PjJByyIqeeUWMtbJdu9VCo50DcfFJAjw9nu0xc7xiNP0pSJycbGY3M47mSR2EwlWmFq&#10;poVfY9sTSqI+GpQ5XpmzAWejORsHB7IfsO8iFY5AOKbUwnKl4j3410+FH5/R9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KdnBD0wAAAAgBAAAPAAAAAAAAAAEAIAAAACIAAABkcnMvZG93bnJldi54&#10;bWxQSwECFAAUAAAACACHTuJAWKorCcYBAACOAwAADgAAAAAAAAABACAAAAAiAQAAZHJzL2Uyb0Rv&#10;Yy54bWxQSwUGAAAAAAYABgBZAQAAWgUAAAAA&#10;">
                      <v:fill on="t" focussize="0,0"/>
                      <v:stroke on="f"/>
                      <v:imagedata o:title=""/>
                      <o:lock v:ext="edit" aspectratio="f"/>
                      <v:textbox inset="0mm,0mm,0mm,0mm">
                        <w:txbxContent>
                          <w:p>
                            <w:pPr>
                              <w:rPr>
                                <w:szCs w:val="21"/>
                              </w:rPr>
                            </w:pPr>
                            <w:r>
                              <w:rPr>
                                <w:szCs w:val="21"/>
                              </w:rPr>
                              <w:t>110°</w:t>
                            </w:r>
                          </w:p>
                        </w:txbxContent>
                      </v:textbox>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1" w:type="dxa"/>
            <w:tcBorders>
              <w:top w:val="single" w:color="auto" w:sz="4" w:space="0"/>
              <w:left w:val="thinThickSmallGap" w:color="auto" w:sz="18"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drawing>
                <wp:inline distT="0" distB="0" distL="0" distR="0">
                  <wp:extent cx="400050" cy="219075"/>
                  <wp:effectExtent l="19050" t="0" r="0" b="0"/>
                  <wp:docPr id="467936987" name="图片 467936987" descr="绿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936987" name="图片 467936987" descr="绿灯"/>
                          <pic:cNvPicPr>
                            <a:picLocks noChangeAspect="1" noChangeArrowheads="1"/>
                          </pic:cNvPicPr>
                        </pic:nvPicPr>
                        <pic:blipFill>
                          <a:blip r:embed="rId19" cstate="print"/>
                          <a:srcRect/>
                          <a:stretch>
                            <a:fillRect/>
                          </a:stretch>
                        </pic:blipFill>
                        <pic:spPr>
                          <a:xfrm>
                            <a:off x="0" y="0"/>
                            <a:ext cx="400050" cy="219075"/>
                          </a:xfrm>
                          <a:prstGeom prst="rect">
                            <a:avLst/>
                          </a:prstGeom>
                          <a:noFill/>
                          <a:ln w="9525">
                            <a:noFill/>
                            <a:miter lim="800000"/>
                            <a:headEnd/>
                            <a:tailEnd/>
                          </a:ln>
                        </pic:spPr>
                      </pic:pic>
                    </a:graphicData>
                  </a:graphic>
                </wp:inline>
              </w:drawing>
            </w:r>
          </w:p>
        </w:tc>
        <w:tc>
          <w:tcPr>
            <w:tcW w:w="174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t>520-525nm</w:t>
            </w:r>
          </w:p>
        </w:tc>
        <w:tc>
          <w:tcPr>
            <w:tcW w:w="219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士兰\晶瀚\晶元</w:t>
            </w:r>
          </w:p>
        </w:tc>
        <w:tc>
          <w:tcPr>
            <w:tcW w:w="35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1" w:type="dxa"/>
            <w:tcBorders>
              <w:top w:val="single" w:color="auto" w:sz="4" w:space="0"/>
              <w:left w:val="thinThickSmallGap" w:color="auto" w:sz="18"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drawing>
                <wp:inline distT="0" distB="0" distL="0" distR="0">
                  <wp:extent cx="400050" cy="219075"/>
                  <wp:effectExtent l="19050" t="0" r="0" b="0"/>
                  <wp:docPr id="1747707734" name="图片 1747707734" descr="蓝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707734" name="图片 1747707734" descr="蓝灯"/>
                          <pic:cNvPicPr>
                            <a:picLocks noChangeAspect="1" noChangeArrowheads="1"/>
                          </pic:cNvPicPr>
                        </pic:nvPicPr>
                        <pic:blipFill>
                          <a:blip r:embed="rId20" cstate="print"/>
                          <a:srcRect/>
                          <a:stretch>
                            <a:fillRect/>
                          </a:stretch>
                        </pic:blipFill>
                        <pic:spPr>
                          <a:xfrm>
                            <a:off x="0" y="0"/>
                            <a:ext cx="400050" cy="219075"/>
                          </a:xfrm>
                          <a:prstGeom prst="rect">
                            <a:avLst/>
                          </a:prstGeom>
                          <a:noFill/>
                          <a:ln w="9525">
                            <a:noFill/>
                            <a:miter lim="800000"/>
                            <a:headEnd/>
                            <a:tailEnd/>
                          </a:ln>
                        </pic:spPr>
                      </pic:pic>
                    </a:graphicData>
                  </a:graphic>
                </wp:inline>
              </w:drawing>
            </w:r>
          </w:p>
        </w:tc>
        <w:tc>
          <w:tcPr>
            <w:tcW w:w="174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color w:val="auto"/>
                <w:sz w:val="21"/>
                <w:szCs w:val="21"/>
                <w:highlight w:val="none"/>
              </w:rPr>
              <w:t>465-470nm</w:t>
            </w:r>
          </w:p>
        </w:tc>
        <w:tc>
          <w:tcPr>
            <w:tcW w:w="2190" w:type="dxa"/>
            <w:gridSpan w:val="2"/>
            <w:tcBorders>
              <w:top w:val="single" w:color="auto" w:sz="4" w:space="0"/>
              <w:left w:val="single" w:color="auto" w:sz="4" w:space="0"/>
              <w:bottom w:val="single" w:color="auto" w:sz="4" w:space="0"/>
              <w:right w:val="single" w:color="auto" w:sz="4" w:space="0"/>
            </w:tcBorders>
          </w:tcPr>
          <w:p>
            <w:pPr>
              <w:snapToGrid w:val="0"/>
              <w:spacing w:line="400" w:lineRule="atLeast"/>
              <w:jc w:val="center"/>
              <w:rPr>
                <w:color w:val="auto"/>
                <w:sz w:val="21"/>
                <w:szCs w:val="21"/>
                <w:highlight w:val="none"/>
              </w:rPr>
            </w:pPr>
            <w:r>
              <w:rPr>
                <w:rFonts w:hint="eastAsia"/>
                <w:color w:val="auto"/>
                <w:sz w:val="21"/>
                <w:szCs w:val="21"/>
                <w:highlight w:val="none"/>
              </w:rPr>
              <w:t>士兰\晶瀚\晶元</w:t>
            </w:r>
          </w:p>
        </w:tc>
        <w:tc>
          <w:tcPr>
            <w:tcW w:w="35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16" w:type="dxa"/>
            <w:gridSpan w:val="7"/>
            <w:tcBorders>
              <w:top w:val="single" w:color="auto" w:sz="4" w:space="0"/>
              <w:left w:val="thinThickSmallGap" w:color="auto" w:sz="18" w:space="0"/>
              <w:bottom w:val="single" w:color="auto" w:sz="4" w:space="0"/>
              <w:right w:val="single" w:color="auto" w:sz="4" w:space="0"/>
            </w:tcBorders>
          </w:tcPr>
          <w:p>
            <w:pPr>
              <w:snapToGrid w:val="0"/>
              <w:spacing w:line="400" w:lineRule="atLeast"/>
              <w:rPr>
                <w:color w:val="auto"/>
                <w:sz w:val="21"/>
                <w:szCs w:val="21"/>
                <w:highlight w:val="none"/>
              </w:rPr>
            </w:pPr>
            <w:r>
              <w:rPr>
                <w:rFonts w:hint="eastAsia"/>
                <w:color w:val="auto"/>
                <w:sz w:val="21"/>
                <w:szCs w:val="21"/>
                <w:highlight w:val="none"/>
              </w:rPr>
              <w:t>屏体波长控制在</w:t>
            </w:r>
            <w:r>
              <w:rPr>
                <w:color w:val="auto"/>
                <w:sz w:val="21"/>
                <w:szCs w:val="21"/>
                <w:highlight w:val="none"/>
              </w:rPr>
              <w:t>2.5nm</w:t>
            </w:r>
            <w:r>
              <w:rPr>
                <w:rFonts w:hint="eastAsia"/>
                <w:color w:val="auto"/>
                <w:sz w:val="21"/>
                <w:szCs w:val="21"/>
                <w:highlight w:val="none"/>
              </w:rPr>
              <w:t>之内，芯片采用大封装芯片。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938" w:type="dxa"/>
            <w:gridSpan w:val="2"/>
            <w:tcBorders>
              <w:top w:val="single" w:color="auto" w:sz="8" w:space="0"/>
              <w:left w:val="thinThickSmallGap" w:color="auto" w:sz="18" w:space="0"/>
              <w:bottom w:val="single" w:color="auto" w:sz="8" w:space="0"/>
              <w:right w:val="single" w:color="auto" w:sz="8" w:space="0"/>
            </w:tcBorders>
            <w:vAlign w:val="bottom"/>
          </w:tcPr>
          <w:p>
            <w:pPr>
              <w:spacing w:line="240" w:lineRule="exact"/>
              <w:rPr>
                <w:color w:val="auto"/>
                <w:sz w:val="21"/>
                <w:szCs w:val="21"/>
                <w:highlight w:val="none"/>
              </w:rPr>
            </w:pPr>
            <w:r>
              <w:rPr>
                <w:rFonts w:hint="eastAsia" w:hAnsi="宋体"/>
                <w:color w:val="auto"/>
                <w:sz w:val="21"/>
                <w:szCs w:val="21"/>
                <w:highlight w:val="none"/>
              </w:rPr>
              <w:t>标准平均功率（</w:t>
            </w:r>
            <w:r>
              <w:rPr>
                <w:color w:val="auto"/>
                <w:sz w:val="21"/>
                <w:szCs w:val="21"/>
                <w:highlight w:val="none"/>
              </w:rPr>
              <w:t>W/m</w:t>
            </w:r>
            <w:r>
              <w:rPr>
                <w:color w:val="auto"/>
                <w:sz w:val="21"/>
                <w:szCs w:val="21"/>
                <w:highlight w:val="none"/>
                <w:vertAlign w:val="superscript"/>
              </w:rPr>
              <w:t>2</w:t>
            </w:r>
            <w:r>
              <w:rPr>
                <w:rFonts w:hint="eastAsia" w:hAnsi="宋体"/>
                <w:color w:val="auto"/>
                <w:sz w:val="21"/>
                <w:szCs w:val="21"/>
                <w:highlight w:val="none"/>
              </w:rPr>
              <w:t>）</w:t>
            </w:r>
          </w:p>
        </w:tc>
        <w:tc>
          <w:tcPr>
            <w:tcW w:w="2590" w:type="dxa"/>
            <w:gridSpan w:val="2"/>
            <w:tcBorders>
              <w:top w:val="single" w:color="auto" w:sz="8" w:space="0"/>
              <w:left w:val="single" w:color="auto" w:sz="8" w:space="0"/>
              <w:bottom w:val="single" w:color="auto" w:sz="8" w:space="0"/>
              <w:right w:val="single" w:color="auto" w:sz="4" w:space="0"/>
            </w:tcBorders>
            <w:vAlign w:val="bottom"/>
          </w:tcPr>
          <w:p>
            <w:pPr>
              <w:spacing w:line="240" w:lineRule="exact"/>
              <w:rPr>
                <w:color w:val="auto"/>
                <w:sz w:val="21"/>
                <w:szCs w:val="21"/>
                <w:highlight w:val="none"/>
              </w:rPr>
            </w:pPr>
            <w:r>
              <w:rPr>
                <w:color w:val="auto"/>
                <w:sz w:val="21"/>
                <w:szCs w:val="21"/>
                <w:highlight w:val="none"/>
              </w:rPr>
              <w:t>300-600 W/m</w:t>
            </w:r>
            <w:r>
              <w:rPr>
                <w:color w:val="auto"/>
                <w:sz w:val="21"/>
                <w:szCs w:val="21"/>
                <w:highlight w:val="none"/>
                <w:vertAlign w:val="superscript"/>
              </w:rPr>
              <w:t>2</w:t>
            </w:r>
          </w:p>
        </w:tc>
        <w:tc>
          <w:tcPr>
            <w:tcW w:w="1775" w:type="dxa"/>
            <w:gridSpan w:val="2"/>
            <w:tcBorders>
              <w:top w:val="single" w:color="auto" w:sz="8" w:space="0"/>
              <w:left w:val="single" w:color="auto" w:sz="4" w:space="0"/>
              <w:bottom w:val="single" w:color="auto" w:sz="8" w:space="0"/>
              <w:right w:val="single" w:color="auto" w:sz="4" w:space="0"/>
            </w:tcBorders>
            <w:vAlign w:val="bottom"/>
          </w:tcPr>
          <w:p>
            <w:pPr>
              <w:spacing w:line="240" w:lineRule="exact"/>
              <w:rPr>
                <w:color w:val="auto"/>
                <w:sz w:val="21"/>
                <w:szCs w:val="21"/>
                <w:highlight w:val="none"/>
              </w:rPr>
            </w:pPr>
            <w:r>
              <w:rPr>
                <w:rFonts w:hint="eastAsia" w:hAnsi="宋体"/>
                <w:color w:val="auto"/>
                <w:sz w:val="21"/>
                <w:szCs w:val="21"/>
                <w:highlight w:val="none"/>
              </w:rPr>
              <w:t>最大功率（</w:t>
            </w:r>
            <w:r>
              <w:rPr>
                <w:color w:val="auto"/>
                <w:sz w:val="21"/>
                <w:szCs w:val="21"/>
                <w:highlight w:val="none"/>
              </w:rPr>
              <w:t>W/m</w:t>
            </w:r>
            <w:r>
              <w:rPr>
                <w:color w:val="auto"/>
                <w:sz w:val="21"/>
                <w:szCs w:val="21"/>
                <w:highlight w:val="none"/>
                <w:vertAlign w:val="superscript"/>
              </w:rPr>
              <w:t>2</w:t>
            </w:r>
            <w:r>
              <w:rPr>
                <w:rFonts w:hint="eastAsia" w:hAnsi="宋体"/>
                <w:color w:val="auto"/>
                <w:sz w:val="21"/>
                <w:szCs w:val="21"/>
                <w:highlight w:val="none"/>
              </w:rPr>
              <w:t>）</w:t>
            </w:r>
          </w:p>
        </w:tc>
        <w:tc>
          <w:tcPr>
            <w:tcW w:w="2813" w:type="dxa"/>
            <w:tcBorders>
              <w:top w:val="single" w:color="auto" w:sz="8" w:space="0"/>
              <w:left w:val="single" w:color="auto" w:sz="4" w:space="0"/>
              <w:bottom w:val="single" w:color="auto" w:sz="8" w:space="0"/>
              <w:right w:val="single" w:color="auto" w:sz="8" w:space="0"/>
            </w:tcBorders>
            <w:vAlign w:val="bottom"/>
          </w:tcPr>
          <w:p>
            <w:pPr>
              <w:spacing w:line="240" w:lineRule="exact"/>
              <w:rPr>
                <w:color w:val="auto"/>
                <w:sz w:val="21"/>
                <w:szCs w:val="21"/>
                <w:highlight w:val="none"/>
              </w:rPr>
            </w:pPr>
            <w:r>
              <w:rPr>
                <w:rFonts w:hint="eastAsia"/>
                <w:color w:val="auto"/>
                <w:sz w:val="21"/>
                <w:szCs w:val="21"/>
                <w:highlight w:val="none"/>
              </w:rPr>
              <w:t>≤</w:t>
            </w:r>
            <w:r>
              <w:rPr>
                <w:color w:val="auto"/>
                <w:sz w:val="21"/>
                <w:szCs w:val="21"/>
                <w:highlight w:val="none"/>
              </w:rPr>
              <w:t>800W/m</w:t>
            </w:r>
            <w:r>
              <w:rPr>
                <w:color w:val="auto"/>
                <w:sz w:val="21"/>
                <w:szCs w:val="21"/>
                <w:highlight w:val="none"/>
                <w:vertAlign w:val="superscript"/>
              </w:rPr>
              <w:t xml:space="preserve">2 </w:t>
            </w:r>
          </w:p>
        </w:tc>
      </w:tr>
    </w:tbl>
    <w:p>
      <w:pPr>
        <w:snapToGrid w:val="0"/>
        <w:spacing w:line="360" w:lineRule="auto"/>
        <w:outlineLvl w:val="1"/>
        <w:rPr>
          <w:rFonts w:ascii="宋体" w:hAnsi="宋体"/>
          <w:b/>
          <w:color w:val="auto"/>
          <w:highlight w:val="none"/>
        </w:rPr>
      </w:pPr>
      <w:bookmarkStart w:id="433" w:name="_Toc3996"/>
      <w:bookmarkStart w:id="434" w:name="_Toc3732"/>
      <w:bookmarkStart w:id="435" w:name="_Toc31870"/>
      <w:bookmarkStart w:id="436" w:name="_Toc28393"/>
      <w:bookmarkStart w:id="437" w:name="_Toc23609"/>
      <w:bookmarkStart w:id="438" w:name="_Toc135743368"/>
      <w:bookmarkStart w:id="439" w:name="_Toc28053"/>
      <w:bookmarkStart w:id="440" w:name="_Toc12866"/>
      <w:bookmarkStart w:id="441" w:name="_Toc45"/>
      <w:bookmarkStart w:id="442" w:name="_Toc23085"/>
      <w:bookmarkStart w:id="443" w:name="_Toc29685"/>
      <w:r>
        <w:rPr>
          <w:rFonts w:hint="eastAsia"/>
          <w:b/>
          <w:color w:val="auto"/>
          <w:highlight w:val="none"/>
        </w:rPr>
        <w:t>3．全彩</w:t>
      </w:r>
      <w:r>
        <w:rPr>
          <w:rFonts w:hint="eastAsia" w:ascii="宋体" w:hAnsi="宋体"/>
          <w:b/>
          <w:color w:val="auto"/>
          <w:highlight w:val="none"/>
        </w:rPr>
        <w:t>屏体参数</w:t>
      </w:r>
      <w:bookmarkEnd w:id="433"/>
      <w:bookmarkEnd w:id="434"/>
      <w:bookmarkEnd w:id="435"/>
      <w:bookmarkEnd w:id="436"/>
      <w:bookmarkEnd w:id="437"/>
      <w:bookmarkEnd w:id="438"/>
      <w:bookmarkEnd w:id="439"/>
      <w:bookmarkEnd w:id="440"/>
      <w:bookmarkEnd w:id="441"/>
      <w:bookmarkEnd w:id="442"/>
      <w:bookmarkEnd w:id="443"/>
    </w:p>
    <w:tbl>
      <w:tblPr>
        <w:tblStyle w:val="1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jc w:val="center"/>
              <w:rPr>
                <w:rFonts w:ascii="宋体" w:hAnsi="宋体"/>
                <w:b/>
                <w:bCs/>
                <w:color w:val="auto"/>
                <w:sz w:val="21"/>
                <w:szCs w:val="21"/>
                <w:highlight w:val="none"/>
              </w:rPr>
            </w:pPr>
            <w:r>
              <w:rPr>
                <w:rFonts w:hint="eastAsia" w:ascii="宋体" w:hAnsi="宋体"/>
                <w:b/>
                <w:bCs/>
                <w:color w:val="auto"/>
                <w:sz w:val="21"/>
                <w:szCs w:val="21"/>
                <w:highlight w:val="none"/>
              </w:rPr>
              <w:t>说  明</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jc w:val="center"/>
              <w:rPr>
                <w:rFonts w:ascii="宋体" w:hAnsi="宋体"/>
                <w:b/>
                <w:bCs/>
                <w:color w:val="auto"/>
                <w:sz w:val="21"/>
                <w:szCs w:val="21"/>
                <w:highlight w:val="none"/>
              </w:rPr>
            </w:pPr>
            <w:r>
              <w:rPr>
                <w:rFonts w:hint="eastAsia" w:ascii="宋体" w:hAnsi="宋体"/>
                <w:b/>
                <w:bCs/>
                <w:color w:val="auto"/>
                <w:sz w:val="21"/>
                <w:szCs w:val="21"/>
                <w:highlight w:val="none"/>
              </w:rPr>
              <w:t>技术指标参数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2305" w:type="dxa"/>
            <w:tcBorders>
              <w:top w:val="single" w:color="auto" w:sz="4" w:space="0"/>
              <w:left w:val="thinThickSmallGap" w:color="auto" w:sz="24" w:space="0"/>
              <w:bottom w:val="single" w:color="auto" w:sz="4" w:space="0"/>
              <w:right w:val="single" w:color="auto" w:sz="4" w:space="0"/>
            </w:tcBorders>
            <w:vAlign w:val="center"/>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1、单元板</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物理点间距：</w:t>
            </w:r>
            <w:r>
              <w:rPr>
                <w:rFonts w:hint="eastAsia" w:ascii="宋体" w:hAnsi="宋体" w:cs="宋体"/>
                <w:color w:val="auto"/>
                <w:sz w:val="21"/>
                <w:szCs w:val="21"/>
                <w:highlight w:val="none"/>
              </w:rPr>
              <w:t>≦</w:t>
            </w:r>
            <w:r>
              <w:rPr>
                <w:rFonts w:hint="eastAsia" w:ascii="宋体" w:hAnsi="宋体"/>
                <w:color w:val="auto"/>
                <w:sz w:val="21"/>
                <w:szCs w:val="21"/>
                <w:highlight w:val="none"/>
              </w:rPr>
              <w:t>3.0mm                                                 芯片：铜支架封装</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物理密度：</w:t>
            </w:r>
            <w:r>
              <w:rPr>
                <w:rFonts w:ascii="Arial" w:hAnsi="Arial" w:cs="Arial"/>
                <w:color w:val="auto"/>
                <w:sz w:val="21"/>
                <w:szCs w:val="21"/>
                <w:highlight w:val="none"/>
              </w:rPr>
              <w:t>≥</w:t>
            </w:r>
            <w:r>
              <w:rPr>
                <w:rFonts w:hint="eastAsia"/>
                <w:color w:val="auto"/>
                <w:sz w:val="21"/>
                <w:szCs w:val="21"/>
                <w:highlight w:val="none"/>
              </w:rPr>
              <w:t>111111</w:t>
            </w:r>
            <w:r>
              <w:rPr>
                <w:rFonts w:hint="eastAsia" w:ascii="宋体" w:hAnsi="宋体"/>
                <w:color w:val="auto"/>
                <w:sz w:val="21"/>
                <w:szCs w:val="21"/>
                <w:highlight w:val="none"/>
              </w:rPr>
              <w:t>点/m2</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发光点颜色：1R1G1B</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单元板分辨率：</w:t>
            </w:r>
            <w:r>
              <w:rPr>
                <w:rFonts w:ascii="Arial" w:hAnsi="Arial" w:cs="Arial"/>
                <w:color w:val="auto"/>
                <w:sz w:val="21"/>
                <w:szCs w:val="21"/>
                <w:highlight w:val="none"/>
              </w:rPr>
              <w:t>≥</w:t>
            </w:r>
            <w:r>
              <w:rPr>
                <w:rFonts w:hint="eastAsia" w:ascii="宋体" w:hAnsi="宋体"/>
                <w:color w:val="auto"/>
                <w:sz w:val="21"/>
                <w:szCs w:val="21"/>
                <w:highlight w:val="none"/>
              </w:rPr>
              <w:t>64点×64点</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单元板尺寸：192mm×192mm</w:t>
            </w:r>
          </w:p>
          <w:p>
            <w:pPr>
              <w:spacing w:line="240" w:lineRule="exact"/>
              <w:jc w:val="left"/>
              <w:rPr>
                <w:rFonts w:ascii="宋体" w:hAnsi="宋体"/>
                <w:color w:val="auto"/>
                <w:sz w:val="21"/>
                <w:szCs w:val="21"/>
                <w:highlight w:val="none"/>
              </w:rPr>
            </w:pPr>
            <w:r>
              <w:rPr>
                <w:rFonts w:hint="eastAsia" w:ascii="宋体" w:hAnsi="宋体"/>
                <w:color w:val="auto"/>
                <w:sz w:val="21"/>
                <w:szCs w:val="21"/>
                <w:highlight w:val="none"/>
              </w:rPr>
              <w:t xml:space="preserve">屏体重量：约10 KG/平方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2305" w:type="dxa"/>
            <w:tcBorders>
              <w:top w:val="single" w:color="auto" w:sz="4" w:space="0"/>
              <w:left w:val="thinThickSmallGap" w:color="auto" w:sz="24" w:space="0"/>
              <w:bottom w:val="single" w:color="auto" w:sz="4" w:space="0"/>
              <w:right w:val="single" w:color="auto" w:sz="4" w:space="0"/>
            </w:tcBorders>
            <w:vAlign w:val="center"/>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2、屏体</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屏体显示面积：4.</w:t>
            </w:r>
            <w:r>
              <w:rPr>
                <w:rFonts w:ascii="宋体" w:hAnsi="宋体"/>
                <w:color w:val="auto"/>
                <w:sz w:val="21"/>
                <w:szCs w:val="21"/>
                <w:highlight w:val="none"/>
              </w:rPr>
              <w:t>8</w:t>
            </w:r>
            <w:r>
              <w:rPr>
                <w:rFonts w:hint="eastAsia" w:ascii="宋体" w:hAnsi="宋体"/>
                <w:color w:val="auto"/>
                <w:sz w:val="21"/>
                <w:szCs w:val="21"/>
                <w:highlight w:val="none"/>
              </w:rPr>
              <w:t>m*2.</w:t>
            </w:r>
            <w:r>
              <w:rPr>
                <w:rFonts w:ascii="宋体" w:hAnsi="宋体"/>
                <w:color w:val="auto"/>
                <w:sz w:val="21"/>
                <w:szCs w:val="21"/>
                <w:highlight w:val="none"/>
              </w:rPr>
              <w:t>688</w:t>
            </w:r>
            <w:r>
              <w:rPr>
                <w:rFonts w:hint="eastAsia" w:ascii="宋体" w:hAnsi="宋体"/>
                <w:color w:val="auto"/>
                <w:sz w:val="21"/>
                <w:szCs w:val="21"/>
                <w:highlight w:val="none"/>
              </w:rPr>
              <w:t>m=</w:t>
            </w:r>
            <w:r>
              <w:rPr>
                <w:rFonts w:ascii="宋体" w:hAnsi="宋体"/>
                <w:color w:val="auto"/>
                <w:sz w:val="21"/>
                <w:szCs w:val="21"/>
                <w:highlight w:val="none"/>
              </w:rPr>
              <w:t>12.90</w:t>
            </w:r>
            <w:r>
              <w:rPr>
                <w:rFonts w:hint="eastAsia" w:ascii="宋体" w:hAnsi="宋体"/>
                <w:color w:val="auto"/>
                <w:sz w:val="21"/>
                <w:szCs w:val="21"/>
                <w:highlight w:val="none"/>
              </w:rPr>
              <w:t xml:space="preserve">㎡（保留小数点2位）                                </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整屏分辨率：</w:t>
            </w:r>
            <w:r>
              <w:rPr>
                <w:rFonts w:ascii="Arial" w:hAnsi="Arial" w:cs="Arial"/>
                <w:color w:val="auto"/>
                <w:sz w:val="21"/>
                <w:szCs w:val="21"/>
                <w:highlight w:val="none"/>
              </w:rPr>
              <w:t>≥</w:t>
            </w:r>
            <w:r>
              <w:rPr>
                <w:rFonts w:ascii="宋体" w:hAnsi="宋体"/>
                <w:color w:val="auto"/>
                <w:sz w:val="21"/>
                <w:szCs w:val="21"/>
                <w:highlight w:val="none"/>
              </w:rPr>
              <w:t>1600</w:t>
            </w:r>
            <w:r>
              <w:rPr>
                <w:rFonts w:hint="eastAsia" w:ascii="宋体" w:hAnsi="宋体"/>
                <w:color w:val="auto"/>
                <w:sz w:val="21"/>
                <w:szCs w:val="21"/>
                <w:highlight w:val="none"/>
              </w:rPr>
              <w:t>*8</w:t>
            </w:r>
            <w:r>
              <w:rPr>
                <w:rFonts w:ascii="宋体" w:hAnsi="宋体"/>
                <w:color w:val="auto"/>
                <w:sz w:val="21"/>
                <w:szCs w:val="21"/>
                <w:highlight w:val="none"/>
              </w:rPr>
              <w:t>96</w:t>
            </w:r>
            <w:r>
              <w:rPr>
                <w:rFonts w:hint="eastAsia" w:ascii="宋体" w:hAnsi="宋体"/>
                <w:color w:val="auto"/>
                <w:sz w:val="21"/>
                <w:szCs w:val="21"/>
                <w:highlight w:val="none"/>
              </w:rPr>
              <w:t>=</w:t>
            </w:r>
            <w:r>
              <w:rPr>
                <w:rFonts w:ascii="宋体" w:hAnsi="宋体"/>
                <w:color w:val="auto"/>
                <w:sz w:val="21"/>
                <w:szCs w:val="21"/>
                <w:highlight w:val="none"/>
              </w:rPr>
              <w:t>1433600</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点环境温度：存贮 -40℃ ～ +85℃工    作：-40℃ ～ +50℃</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相对湿度：10%～95%RH</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可视距离：2.0~10M</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工作电压：220V±10％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2305" w:type="dxa"/>
            <w:tcBorders>
              <w:top w:val="single" w:color="auto" w:sz="4" w:space="0"/>
              <w:left w:val="thinThickSmallGap" w:color="auto" w:sz="24" w:space="0"/>
              <w:bottom w:val="single" w:color="auto" w:sz="4" w:space="0"/>
              <w:right w:val="single" w:color="auto" w:sz="4" w:space="0"/>
            </w:tcBorders>
            <w:vAlign w:val="center"/>
          </w:tcPr>
          <w:p>
            <w:pPr>
              <w:spacing w:line="240" w:lineRule="exact"/>
              <w:rPr>
                <w:b/>
                <w:bCs/>
                <w:color w:val="auto"/>
                <w:sz w:val="21"/>
                <w:szCs w:val="21"/>
                <w:highlight w:val="none"/>
              </w:rPr>
            </w:pPr>
            <w:r>
              <w:rPr>
                <w:b/>
                <w:bCs/>
                <w:color w:val="auto"/>
                <w:sz w:val="21"/>
                <w:szCs w:val="21"/>
                <w:highlight w:val="none"/>
              </w:rPr>
              <w:t>3</w:t>
            </w:r>
            <w:r>
              <w:rPr>
                <w:rFonts w:hint="eastAsia"/>
                <w:b/>
                <w:bCs/>
                <w:color w:val="auto"/>
                <w:sz w:val="21"/>
                <w:szCs w:val="21"/>
                <w:highlight w:val="none"/>
              </w:rPr>
              <w:t>、供电</w:t>
            </w:r>
          </w:p>
        </w:tc>
        <w:tc>
          <w:tcPr>
            <w:tcW w:w="69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工作电压：220V±10％</w:t>
            </w:r>
          </w:p>
          <w:p>
            <w:pPr>
              <w:spacing w:line="240" w:lineRule="exact"/>
              <w:rPr>
                <w:rFonts w:ascii="宋体" w:hAnsi="宋体"/>
                <w:color w:val="auto"/>
                <w:sz w:val="21"/>
                <w:szCs w:val="21"/>
                <w:highlight w:val="none"/>
              </w:rPr>
            </w:pPr>
            <w:r>
              <w:rPr>
                <w:rFonts w:hint="eastAsia" w:ascii="宋体" w:hAnsi="宋体"/>
                <w:color w:val="auto"/>
                <w:sz w:val="21"/>
                <w:szCs w:val="21"/>
                <w:highlight w:val="none"/>
              </w:rPr>
              <w:t>平均功耗：300~600W/m</w:t>
            </w:r>
            <w:r>
              <w:rPr>
                <w:rFonts w:hint="eastAsia" w:ascii="宋体" w:hAnsi="宋体"/>
                <w:color w:val="auto"/>
                <w:sz w:val="21"/>
                <w:szCs w:val="21"/>
                <w:highlight w:val="none"/>
                <w:vertAlign w:val="superscript"/>
              </w:rPr>
              <w:t>2</w:t>
            </w:r>
          </w:p>
          <w:p>
            <w:pPr>
              <w:spacing w:line="240" w:lineRule="exact"/>
              <w:rPr>
                <w:rFonts w:ascii="宋体" w:hAnsi="宋体"/>
                <w:color w:val="auto"/>
                <w:sz w:val="21"/>
                <w:szCs w:val="21"/>
                <w:highlight w:val="none"/>
                <w:vertAlign w:val="superscript"/>
              </w:rPr>
            </w:pPr>
            <w:r>
              <w:rPr>
                <w:rFonts w:hint="eastAsia" w:ascii="宋体" w:hAnsi="宋体"/>
                <w:color w:val="auto"/>
                <w:sz w:val="21"/>
                <w:szCs w:val="21"/>
                <w:highlight w:val="none"/>
              </w:rPr>
              <w:t>最大功耗：≤</w:t>
            </w:r>
            <w:r>
              <w:rPr>
                <w:rFonts w:ascii="宋体" w:hAnsi="宋体"/>
                <w:color w:val="auto"/>
                <w:sz w:val="21"/>
                <w:szCs w:val="21"/>
                <w:highlight w:val="none"/>
              </w:rPr>
              <w:t>8</w:t>
            </w:r>
            <w:r>
              <w:rPr>
                <w:rFonts w:hint="eastAsia" w:ascii="宋体" w:hAnsi="宋体"/>
                <w:color w:val="auto"/>
                <w:sz w:val="21"/>
                <w:szCs w:val="21"/>
                <w:highlight w:val="none"/>
              </w:rPr>
              <w:t>00W/m</w:t>
            </w:r>
            <w:r>
              <w:rPr>
                <w:rFonts w:hint="eastAsia" w:ascii="宋体" w:hAnsi="宋体"/>
                <w:color w:val="auto"/>
                <w:sz w:val="21"/>
                <w:szCs w:val="21"/>
                <w:highlight w:val="none"/>
                <w:vertAlign w:val="superscript"/>
              </w:rPr>
              <w:t>2</w:t>
            </w:r>
          </w:p>
          <w:p>
            <w:pPr>
              <w:spacing w:line="240" w:lineRule="exact"/>
              <w:rPr>
                <w:rFonts w:ascii="宋体" w:hAnsi="宋体"/>
                <w:color w:val="auto"/>
                <w:sz w:val="21"/>
                <w:szCs w:val="21"/>
                <w:highlight w:val="none"/>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305" w:type="dxa"/>
            <w:tcBorders>
              <w:top w:val="single" w:color="auto" w:sz="4" w:space="0"/>
              <w:left w:val="thinThickSmallGap" w:color="auto" w:sz="24" w:space="0"/>
              <w:bottom w:val="single" w:color="auto" w:sz="4" w:space="0"/>
              <w:right w:val="single" w:color="auto" w:sz="4" w:space="0"/>
            </w:tcBorders>
            <w:vAlign w:val="center"/>
          </w:tcPr>
          <w:p>
            <w:pPr>
              <w:spacing w:line="240" w:lineRule="exact"/>
              <w:rPr>
                <w:b/>
                <w:bCs/>
                <w:color w:val="auto"/>
                <w:sz w:val="21"/>
                <w:szCs w:val="21"/>
                <w:highlight w:val="none"/>
              </w:rPr>
            </w:pPr>
            <w:r>
              <w:rPr>
                <w:b/>
                <w:bCs/>
                <w:color w:val="auto"/>
                <w:sz w:val="21"/>
                <w:szCs w:val="21"/>
                <w:highlight w:val="none"/>
              </w:rPr>
              <w:t>4</w:t>
            </w:r>
            <w:r>
              <w:rPr>
                <w:rFonts w:hint="eastAsia"/>
                <w:b/>
                <w:bCs/>
                <w:color w:val="auto"/>
                <w:sz w:val="21"/>
                <w:szCs w:val="21"/>
                <w:highlight w:val="none"/>
              </w:rPr>
              <w:t>、控制系统</w:t>
            </w:r>
          </w:p>
        </w:tc>
        <w:tc>
          <w:tcPr>
            <w:tcW w:w="6983" w:type="dxa"/>
            <w:tcBorders>
              <w:top w:val="single" w:color="auto" w:sz="4" w:space="0"/>
              <w:left w:val="single" w:color="auto" w:sz="4" w:space="0"/>
              <w:bottom w:val="single" w:color="auto" w:sz="4" w:space="0"/>
              <w:right w:val="single" w:color="auto" w:sz="4" w:space="0"/>
            </w:tcBorders>
            <w:vAlign w:val="center"/>
          </w:tcPr>
          <w:p>
            <w:pPr>
              <w:spacing w:line="240" w:lineRule="exact"/>
              <w:rPr>
                <w:color w:val="auto"/>
                <w:sz w:val="21"/>
                <w:szCs w:val="21"/>
                <w:highlight w:val="none"/>
              </w:rPr>
            </w:pPr>
            <w:r>
              <w:rPr>
                <w:rFonts w:hint="eastAsia"/>
                <w:color w:val="auto"/>
                <w:sz w:val="21"/>
                <w:szCs w:val="21"/>
                <w:highlight w:val="none"/>
              </w:rPr>
              <w:t>控制主机：品牌电脑主机</w:t>
            </w:r>
          </w:p>
          <w:p>
            <w:pPr>
              <w:spacing w:line="240" w:lineRule="exact"/>
              <w:rPr>
                <w:color w:val="auto"/>
                <w:sz w:val="21"/>
                <w:szCs w:val="21"/>
                <w:highlight w:val="none"/>
              </w:rPr>
            </w:pPr>
            <w:r>
              <w:rPr>
                <w:rFonts w:hint="eastAsia"/>
                <w:color w:val="auto"/>
                <w:sz w:val="21"/>
                <w:szCs w:val="21"/>
                <w:highlight w:val="none"/>
              </w:rPr>
              <w:t>操作系统：其他</w:t>
            </w:r>
          </w:p>
          <w:p>
            <w:pPr>
              <w:spacing w:line="240" w:lineRule="exact"/>
              <w:rPr>
                <w:color w:val="auto"/>
                <w:sz w:val="21"/>
                <w:szCs w:val="21"/>
                <w:highlight w:val="none"/>
              </w:rPr>
            </w:pPr>
            <w:r>
              <w:rPr>
                <w:rFonts w:hint="eastAsia"/>
                <w:color w:val="auto"/>
                <w:sz w:val="21"/>
                <w:szCs w:val="21"/>
                <w:highlight w:val="none"/>
              </w:rPr>
              <w:t>控制方式：同步控制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rPr>
                <w:b/>
                <w:bCs/>
                <w:color w:val="auto"/>
                <w:sz w:val="21"/>
                <w:szCs w:val="21"/>
                <w:highlight w:val="none"/>
              </w:rPr>
            </w:pPr>
            <w:r>
              <w:rPr>
                <w:b/>
                <w:bCs/>
                <w:color w:val="auto"/>
                <w:sz w:val="21"/>
                <w:szCs w:val="21"/>
                <w:highlight w:val="none"/>
              </w:rPr>
              <w:t>5</w:t>
            </w:r>
            <w:r>
              <w:rPr>
                <w:rFonts w:hint="eastAsia"/>
                <w:b/>
                <w:bCs/>
                <w:color w:val="auto"/>
                <w:sz w:val="21"/>
                <w:szCs w:val="21"/>
                <w:highlight w:val="none"/>
              </w:rPr>
              <w:t>、主要技术参数</w:t>
            </w:r>
          </w:p>
        </w:tc>
        <w:tc>
          <w:tcPr>
            <w:tcW w:w="6983"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color w:val="auto"/>
                <w:sz w:val="21"/>
                <w:szCs w:val="21"/>
                <w:highlight w:val="none"/>
              </w:rPr>
            </w:pPr>
            <w:r>
              <w:rPr>
                <w:rFonts w:hint="eastAsia" w:ascii="宋体" w:hAnsi="宋体"/>
                <w:color w:val="auto"/>
                <w:sz w:val="21"/>
                <w:szCs w:val="21"/>
                <w:highlight w:val="none"/>
              </w:rPr>
              <w:t>LED像素失控率≤1/1000000，无连续失控点；</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使用寿命≥200000小时；</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亮度：800cd/㎡；</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可调视角范围：水平、垂直均≥160°；</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亮度均匀性：≥98.3%；</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对比度：≥3000:1；</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刷新率：≥1920Hz；</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色域、色温：2800K-15000K连续可调，可设置冷暖色标准调节，色域≥110%；</w:t>
            </w:r>
          </w:p>
          <w:p>
            <w:pPr>
              <w:spacing w:line="220" w:lineRule="exact"/>
              <w:rPr>
                <w:rFonts w:ascii="宋体" w:hAnsi="宋体"/>
                <w:color w:val="auto"/>
                <w:sz w:val="21"/>
                <w:szCs w:val="21"/>
                <w:highlight w:val="none"/>
              </w:rPr>
            </w:pPr>
            <w:r>
              <w:rPr>
                <w:rFonts w:hint="eastAsia" w:ascii="宋体" w:hAnsi="宋体"/>
                <w:color w:val="auto"/>
                <w:sz w:val="21"/>
                <w:szCs w:val="21"/>
                <w:highlight w:val="none"/>
              </w:rPr>
              <w:t>显示屏模组间拼接间隙≤0.09mm。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6、控制方式</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WINXP计算机+控制软件硬件+播放软件及硬件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7、保护技术</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防潮、防虫、防尘、防电磁干扰、阻燃。电器防护：过流、断路、短路、过压、欠压、超温、超负荷、断电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305" w:type="dxa"/>
            <w:tcBorders>
              <w:top w:val="single" w:color="auto" w:sz="4" w:space="0"/>
              <w:left w:val="thinThickSmallGap" w:color="auto" w:sz="24" w:space="0"/>
              <w:bottom w:val="single" w:color="auto" w:sz="4" w:space="0"/>
              <w:right w:val="single" w:color="auto" w:sz="4" w:space="0"/>
            </w:tcBorders>
          </w:tcPr>
          <w:p>
            <w:pPr>
              <w:pStyle w:val="3"/>
              <w:spacing w:line="240" w:lineRule="exact"/>
              <w:ind w:firstLine="0"/>
              <w:rPr>
                <w:b/>
                <w:bCs/>
                <w:color w:val="auto"/>
                <w:sz w:val="21"/>
                <w:szCs w:val="21"/>
                <w:highlight w:val="none"/>
              </w:rPr>
            </w:pPr>
            <w:r>
              <w:rPr>
                <w:b/>
                <w:bCs/>
                <w:color w:val="auto"/>
                <w:sz w:val="21"/>
                <w:szCs w:val="21"/>
                <w:highlight w:val="none"/>
              </w:rPr>
              <w:t>8</w:t>
            </w:r>
            <w:r>
              <w:rPr>
                <w:rFonts w:hint="eastAsia"/>
                <w:b/>
                <w:bCs/>
                <w:color w:val="auto"/>
                <w:sz w:val="21"/>
                <w:szCs w:val="21"/>
                <w:highlight w:val="none"/>
              </w:rPr>
              <w:t>、播放内容</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color w:val="auto"/>
                <w:sz w:val="21"/>
                <w:szCs w:val="21"/>
                <w:highlight w:val="none"/>
              </w:rPr>
              <w:t>文本文件，</w:t>
            </w:r>
            <w:r>
              <w:rPr>
                <w:color w:val="auto"/>
                <w:sz w:val="21"/>
                <w:szCs w:val="21"/>
                <w:highlight w:val="none"/>
              </w:rPr>
              <w:t>WORD</w:t>
            </w:r>
            <w:r>
              <w:rPr>
                <w:rFonts w:hint="eastAsia"/>
                <w:color w:val="auto"/>
                <w:sz w:val="21"/>
                <w:szCs w:val="21"/>
                <w:highlight w:val="none"/>
              </w:rPr>
              <w:t>文件、PPT文件，所有图片文件（</w:t>
            </w:r>
            <w:r>
              <w:rPr>
                <w:color w:val="auto"/>
                <w:sz w:val="21"/>
                <w:szCs w:val="21"/>
                <w:highlight w:val="none"/>
              </w:rPr>
              <w:t>BMP</w:t>
            </w:r>
            <w:r>
              <w:rPr>
                <w:rFonts w:hint="eastAsia"/>
                <w:color w:val="auto"/>
                <w:sz w:val="21"/>
                <w:szCs w:val="21"/>
                <w:highlight w:val="none"/>
              </w:rPr>
              <w:t>／</w:t>
            </w:r>
            <w:r>
              <w:rPr>
                <w:color w:val="auto"/>
                <w:sz w:val="21"/>
                <w:szCs w:val="21"/>
                <w:highlight w:val="none"/>
              </w:rPr>
              <w:t>JPG</w:t>
            </w:r>
            <w:r>
              <w:rPr>
                <w:rFonts w:hint="eastAsia"/>
                <w:color w:val="auto"/>
                <w:sz w:val="21"/>
                <w:szCs w:val="21"/>
                <w:highlight w:val="none"/>
              </w:rPr>
              <w:t>／</w:t>
            </w:r>
            <w:r>
              <w:rPr>
                <w:color w:val="auto"/>
                <w:sz w:val="21"/>
                <w:szCs w:val="21"/>
                <w:highlight w:val="none"/>
              </w:rPr>
              <w:t>GIF</w:t>
            </w:r>
            <w:r>
              <w:rPr>
                <w:rFonts w:hint="eastAsia"/>
                <w:color w:val="auto"/>
                <w:sz w:val="21"/>
                <w:szCs w:val="21"/>
                <w:highlight w:val="none"/>
              </w:rPr>
              <w:t>／</w:t>
            </w:r>
            <w:r>
              <w:rPr>
                <w:color w:val="auto"/>
                <w:sz w:val="21"/>
                <w:szCs w:val="21"/>
                <w:highlight w:val="none"/>
              </w:rPr>
              <w:t>PCX</w:t>
            </w:r>
            <w:r>
              <w:rPr>
                <w:rFonts w:hint="eastAsia"/>
                <w:color w:val="auto"/>
                <w:sz w:val="21"/>
                <w:szCs w:val="21"/>
                <w:highlight w:val="none"/>
              </w:rPr>
              <w:t>．．．），所有的动画文件（</w:t>
            </w:r>
            <w:r>
              <w:rPr>
                <w:color w:val="auto"/>
                <w:sz w:val="21"/>
                <w:szCs w:val="21"/>
                <w:highlight w:val="none"/>
              </w:rPr>
              <w:t xml:space="preserve">MPG </w:t>
            </w:r>
            <w:r>
              <w:rPr>
                <w:rFonts w:hint="eastAsia"/>
                <w:color w:val="auto"/>
                <w:sz w:val="21"/>
                <w:szCs w:val="21"/>
                <w:highlight w:val="none"/>
              </w:rPr>
              <w:t>／</w:t>
            </w:r>
            <w:r>
              <w:rPr>
                <w:color w:val="auto"/>
                <w:sz w:val="21"/>
                <w:szCs w:val="21"/>
                <w:highlight w:val="none"/>
              </w:rPr>
              <w:t>MPEG</w:t>
            </w:r>
            <w:r>
              <w:rPr>
                <w:rFonts w:hint="eastAsia"/>
                <w:color w:val="auto"/>
                <w:sz w:val="21"/>
                <w:szCs w:val="21"/>
                <w:highlight w:val="none"/>
              </w:rPr>
              <w:t>／</w:t>
            </w:r>
            <w:r>
              <w:rPr>
                <w:color w:val="auto"/>
                <w:sz w:val="21"/>
                <w:szCs w:val="21"/>
                <w:highlight w:val="none"/>
              </w:rPr>
              <w:t>MPV</w:t>
            </w:r>
            <w:r>
              <w:rPr>
                <w:rFonts w:hint="eastAsia"/>
                <w:color w:val="auto"/>
                <w:sz w:val="21"/>
                <w:szCs w:val="21"/>
                <w:highlight w:val="none"/>
              </w:rPr>
              <w:t>／</w:t>
            </w:r>
            <w:r>
              <w:rPr>
                <w:color w:val="auto"/>
                <w:sz w:val="21"/>
                <w:szCs w:val="21"/>
                <w:highlight w:val="none"/>
              </w:rPr>
              <w:t>MPA</w:t>
            </w:r>
            <w:r>
              <w:rPr>
                <w:rFonts w:hint="eastAsia"/>
                <w:color w:val="auto"/>
                <w:sz w:val="21"/>
                <w:szCs w:val="21"/>
                <w:highlight w:val="none"/>
              </w:rPr>
              <w:t>／</w:t>
            </w:r>
            <w:r>
              <w:rPr>
                <w:color w:val="auto"/>
                <w:sz w:val="21"/>
                <w:szCs w:val="21"/>
                <w:highlight w:val="none"/>
              </w:rPr>
              <w:t>AVI</w:t>
            </w:r>
            <w:r>
              <w:rPr>
                <w:rFonts w:hint="eastAsia"/>
                <w:color w:val="auto"/>
                <w:sz w:val="21"/>
                <w:szCs w:val="21"/>
                <w:highlight w:val="none"/>
              </w:rPr>
              <w:t>／</w:t>
            </w:r>
            <w:r>
              <w:rPr>
                <w:color w:val="auto"/>
                <w:sz w:val="21"/>
                <w:szCs w:val="21"/>
                <w:highlight w:val="none"/>
              </w:rPr>
              <w:t>VCD</w:t>
            </w:r>
            <w:r>
              <w:rPr>
                <w:rFonts w:hint="eastAsia"/>
                <w:color w:val="auto"/>
                <w:sz w:val="21"/>
                <w:szCs w:val="21"/>
                <w:highlight w:val="none"/>
              </w:rPr>
              <w:t>／</w:t>
            </w:r>
            <w:r>
              <w:rPr>
                <w:color w:val="auto"/>
                <w:sz w:val="21"/>
                <w:szCs w:val="21"/>
                <w:highlight w:val="none"/>
              </w:rPr>
              <w:t>SWF</w:t>
            </w:r>
            <w:r>
              <w:rPr>
                <w:rFonts w:hint="eastAsia"/>
                <w:color w:val="auto"/>
                <w:sz w:val="21"/>
                <w:szCs w:val="21"/>
                <w:highlight w:val="none"/>
              </w:rPr>
              <w:t>／</w:t>
            </w:r>
            <w:r>
              <w:rPr>
                <w:color w:val="auto"/>
                <w:sz w:val="21"/>
                <w:szCs w:val="21"/>
                <w:highlight w:val="none"/>
              </w:rPr>
              <w:t>RM</w:t>
            </w:r>
            <w:r>
              <w:rPr>
                <w:rFonts w:hint="eastAsia"/>
                <w:color w:val="auto"/>
                <w:sz w:val="21"/>
                <w:szCs w:val="21"/>
                <w:highlight w:val="none"/>
              </w:rPr>
              <w:t>／</w:t>
            </w:r>
            <w:r>
              <w:rPr>
                <w:color w:val="auto"/>
                <w:sz w:val="21"/>
                <w:szCs w:val="21"/>
                <w:highlight w:val="none"/>
              </w:rPr>
              <w:t>RA</w:t>
            </w:r>
            <w:r>
              <w:rPr>
                <w:rFonts w:hint="eastAsia"/>
                <w:color w:val="auto"/>
                <w:sz w:val="21"/>
                <w:szCs w:val="21"/>
                <w:highlight w:val="none"/>
              </w:rPr>
              <w:t>／</w:t>
            </w:r>
            <w:r>
              <w:rPr>
                <w:color w:val="auto"/>
                <w:sz w:val="21"/>
                <w:szCs w:val="21"/>
                <w:highlight w:val="none"/>
              </w:rPr>
              <w:t>RMJ</w:t>
            </w:r>
            <w:r>
              <w:rPr>
                <w:rFonts w:hint="eastAsia"/>
                <w:color w:val="auto"/>
                <w:sz w:val="21"/>
                <w:szCs w:val="21"/>
                <w:highlight w:val="none"/>
              </w:rPr>
              <w:t>／</w:t>
            </w:r>
            <w:r>
              <w:rPr>
                <w:color w:val="auto"/>
                <w:sz w:val="21"/>
                <w:szCs w:val="21"/>
                <w:highlight w:val="none"/>
              </w:rPr>
              <w:t>ASF</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305" w:type="dxa"/>
            <w:tcBorders>
              <w:top w:val="single" w:color="auto" w:sz="4" w:space="0"/>
              <w:left w:val="thinThickSmallGap" w:color="auto" w:sz="24" w:space="0"/>
              <w:bottom w:val="single" w:color="auto" w:sz="4" w:space="0"/>
              <w:right w:val="single" w:color="auto" w:sz="4" w:space="0"/>
            </w:tcBorders>
          </w:tcPr>
          <w:p>
            <w:pPr>
              <w:spacing w:line="240" w:lineRule="exact"/>
              <w:rPr>
                <w:rFonts w:ascii="宋体" w:hAnsi="宋体"/>
                <w:b/>
                <w:bCs/>
                <w:color w:val="auto"/>
                <w:sz w:val="21"/>
                <w:szCs w:val="21"/>
                <w:highlight w:val="none"/>
              </w:rPr>
            </w:pPr>
            <w:r>
              <w:rPr>
                <w:rFonts w:hint="eastAsia" w:ascii="宋体" w:hAnsi="宋体"/>
                <w:b/>
                <w:bCs/>
                <w:color w:val="auto"/>
                <w:sz w:val="21"/>
                <w:szCs w:val="21"/>
                <w:highlight w:val="none"/>
              </w:rPr>
              <w:t>9、拼装结构</w:t>
            </w:r>
          </w:p>
        </w:tc>
        <w:tc>
          <w:tcPr>
            <w:tcW w:w="6983"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color w:val="auto"/>
                <w:sz w:val="21"/>
                <w:szCs w:val="21"/>
                <w:highlight w:val="none"/>
              </w:rPr>
            </w:pPr>
            <w:r>
              <w:rPr>
                <w:rFonts w:hint="eastAsia" w:ascii="宋体" w:hAnsi="宋体"/>
                <w:color w:val="auto"/>
                <w:sz w:val="21"/>
                <w:szCs w:val="21"/>
                <w:highlight w:val="none"/>
              </w:rPr>
              <w:t xml:space="preserve">单元模组化结构设计，屏面采用前安装方式，组合拼装，组装拆卸，维修方便。 </w:t>
            </w:r>
          </w:p>
        </w:tc>
      </w:tr>
    </w:tbl>
    <w:p>
      <w:pPr>
        <w:pStyle w:val="2"/>
        <w:rPr>
          <w:rFonts w:ascii="宋体" w:hAnsi="宋体"/>
          <w:color w:val="auto"/>
          <w:sz w:val="24"/>
          <w:szCs w:val="24"/>
          <w:highlight w:val="none"/>
        </w:rPr>
      </w:pPr>
      <w:bookmarkStart w:id="444" w:name="_Toc29977"/>
      <w:bookmarkStart w:id="445" w:name="_Toc21763"/>
      <w:bookmarkStart w:id="446" w:name="_Toc13333"/>
      <w:bookmarkStart w:id="447" w:name="_Toc28777"/>
      <w:bookmarkStart w:id="448" w:name="_Toc6141"/>
      <w:bookmarkStart w:id="449" w:name="_Toc6612"/>
      <w:bookmarkStart w:id="450" w:name="_Toc17633"/>
      <w:bookmarkStart w:id="451" w:name="_Toc10337"/>
      <w:bookmarkStart w:id="452" w:name="_Toc18442"/>
      <w:bookmarkStart w:id="453" w:name="_Toc135743369"/>
      <w:bookmarkStart w:id="454" w:name="_Toc14272"/>
      <w:r>
        <w:rPr>
          <w:rFonts w:hint="eastAsia"/>
          <w:color w:val="auto"/>
          <w:highlight w:val="none"/>
        </w:rPr>
        <w:t>三、控制设备技术参数</w:t>
      </w:r>
      <w:bookmarkEnd w:id="444"/>
      <w:bookmarkEnd w:id="445"/>
      <w:bookmarkEnd w:id="446"/>
      <w:bookmarkEnd w:id="447"/>
      <w:bookmarkEnd w:id="448"/>
      <w:bookmarkEnd w:id="449"/>
      <w:bookmarkEnd w:id="450"/>
      <w:bookmarkEnd w:id="451"/>
      <w:bookmarkEnd w:id="452"/>
      <w:bookmarkEnd w:id="453"/>
      <w:bookmarkEnd w:id="454"/>
    </w:p>
    <w:p>
      <w:pPr>
        <w:snapToGrid w:val="0"/>
        <w:spacing w:line="360" w:lineRule="auto"/>
        <w:outlineLvl w:val="1"/>
        <w:rPr>
          <w:rFonts w:ascii="宋体" w:hAnsi="宋体"/>
          <w:b/>
          <w:color w:val="auto"/>
          <w:highlight w:val="none"/>
        </w:rPr>
      </w:pPr>
      <w:bookmarkStart w:id="455" w:name="_Toc30756"/>
      <w:bookmarkStart w:id="456" w:name="_Toc20916"/>
      <w:bookmarkStart w:id="457" w:name="_Toc2873"/>
      <w:bookmarkStart w:id="458" w:name="_Toc23731"/>
      <w:bookmarkStart w:id="459" w:name="_Toc14979"/>
      <w:bookmarkStart w:id="460" w:name="_Toc21819"/>
      <w:bookmarkStart w:id="461" w:name="_Toc13813"/>
      <w:bookmarkStart w:id="462" w:name="_Toc3647"/>
      <w:bookmarkStart w:id="463" w:name="_Toc26524"/>
      <w:bookmarkStart w:id="464" w:name="_Toc135743370"/>
      <w:bookmarkStart w:id="465" w:name="_Toc736"/>
      <w:r>
        <w:rPr>
          <w:b/>
          <w:color w:val="auto"/>
          <w:highlight w:val="none"/>
        </w:rPr>
        <w:t>1</w:t>
      </w:r>
      <w:r>
        <w:rPr>
          <w:rFonts w:hint="eastAsia"/>
          <w:b/>
          <w:color w:val="auto"/>
          <w:highlight w:val="none"/>
        </w:rPr>
        <w:t>．控制屏技术要求</w:t>
      </w:r>
      <w:bookmarkEnd w:id="455"/>
      <w:bookmarkEnd w:id="456"/>
      <w:bookmarkEnd w:id="457"/>
      <w:bookmarkEnd w:id="458"/>
      <w:bookmarkEnd w:id="459"/>
      <w:bookmarkEnd w:id="460"/>
      <w:bookmarkEnd w:id="461"/>
      <w:bookmarkEnd w:id="462"/>
      <w:bookmarkEnd w:id="463"/>
      <w:bookmarkEnd w:id="464"/>
      <w:bookmarkEnd w:id="465"/>
    </w:p>
    <w:tbl>
      <w:tblPr>
        <w:tblStyle w:val="16"/>
        <w:tblW w:w="9077"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806"/>
        <w:gridCol w:w="157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077" w:type="dxa"/>
            <w:gridSpan w:val="4"/>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r>
              <w:rPr>
                <w:rFonts w:hint="eastAsia"/>
                <w:b/>
                <w:bCs/>
                <w:color w:val="auto"/>
                <w:sz w:val="20"/>
                <w:szCs w:val="22"/>
                <w:highlight w:val="none"/>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
                <w:bCs/>
                <w:color w:val="auto"/>
                <w:highlight w:val="none"/>
              </w:rPr>
            </w:pPr>
            <w:r>
              <w:rPr>
                <w:rFonts w:hint="eastAsia"/>
                <w:b/>
                <w:bCs/>
                <w:color w:val="auto"/>
                <w:sz w:val="18"/>
                <w:szCs w:val="21"/>
                <w:highlight w:val="none"/>
              </w:rPr>
              <w:t>屏幕尺寸：</w:t>
            </w:r>
          </w:p>
        </w:tc>
        <w:tc>
          <w:tcPr>
            <w:tcW w:w="2806"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sz w:val="18"/>
                <w:szCs w:val="21"/>
                <w:highlight w:val="none"/>
              </w:rPr>
              <w:t>≥10.1英寸</w:t>
            </w:r>
          </w:p>
        </w:tc>
        <w:tc>
          <w:tcPr>
            <w:tcW w:w="1578" w:type="dxa"/>
            <w:tcBorders>
              <w:top w:val="single" w:color="auto" w:sz="4" w:space="0"/>
              <w:left w:val="single" w:color="auto" w:sz="4" w:space="0"/>
              <w:bottom w:val="single" w:color="auto" w:sz="4" w:space="0"/>
              <w:right w:val="single" w:color="auto" w:sz="4" w:space="0"/>
            </w:tcBorders>
            <w:vAlign w:val="center"/>
          </w:tcPr>
          <w:p>
            <w:pPr>
              <w:jc w:val="left"/>
              <w:rPr>
                <w:b/>
                <w:bCs/>
                <w:color w:val="auto"/>
                <w:highlight w:val="none"/>
              </w:rPr>
            </w:pPr>
            <w:r>
              <w:rPr>
                <w:rFonts w:hint="eastAsia"/>
                <w:b/>
                <w:bCs/>
                <w:color w:val="auto"/>
                <w:sz w:val="18"/>
                <w:szCs w:val="21"/>
                <w:highlight w:val="none"/>
              </w:rPr>
              <w:t>门禁功能：</w:t>
            </w:r>
          </w:p>
        </w:tc>
        <w:tc>
          <w:tcPr>
            <w:tcW w:w="3423"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sz w:val="18"/>
                <w:szCs w:val="21"/>
                <w:highlight w:val="none"/>
              </w:rPr>
              <w:t>支持人脸、卡、二维码、密码识别，支持卡加人脸识别模式（同等或以上）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70" w:type="dxa"/>
            <w:tcBorders>
              <w:top w:val="single" w:color="auto" w:sz="4" w:space="0"/>
              <w:left w:val="single" w:color="auto" w:sz="4" w:space="0"/>
              <w:bottom w:val="single" w:color="auto" w:sz="4" w:space="0"/>
              <w:right w:val="single" w:color="auto" w:sz="4" w:space="0"/>
            </w:tcBorders>
            <w:vAlign w:val="center"/>
          </w:tcPr>
          <w:p>
            <w:pPr>
              <w:jc w:val="left"/>
              <w:rPr>
                <w:b/>
                <w:bCs/>
                <w:color w:val="auto"/>
                <w:highlight w:val="none"/>
              </w:rPr>
            </w:pPr>
            <w:r>
              <w:rPr>
                <w:rFonts w:hint="eastAsia"/>
                <w:b/>
                <w:bCs/>
                <w:color w:val="auto"/>
                <w:sz w:val="18"/>
                <w:szCs w:val="21"/>
                <w:highlight w:val="none"/>
              </w:rPr>
              <w:t>摄像头：</w:t>
            </w:r>
          </w:p>
        </w:tc>
        <w:tc>
          <w:tcPr>
            <w:tcW w:w="2806"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sz w:val="18"/>
                <w:szCs w:val="21"/>
                <w:highlight w:val="none"/>
              </w:rPr>
              <w:t>14:23宽动态双目摄像头</w:t>
            </w:r>
          </w:p>
        </w:tc>
        <w:tc>
          <w:tcPr>
            <w:tcW w:w="1578" w:type="dxa"/>
            <w:tcBorders>
              <w:top w:val="single" w:color="auto" w:sz="4" w:space="0"/>
              <w:left w:val="single" w:color="auto" w:sz="4" w:space="0"/>
              <w:bottom w:val="single" w:color="auto" w:sz="4" w:space="0"/>
              <w:right w:val="single" w:color="auto" w:sz="4" w:space="0"/>
            </w:tcBorders>
            <w:vAlign w:val="center"/>
          </w:tcPr>
          <w:p>
            <w:pPr>
              <w:jc w:val="left"/>
              <w:rPr>
                <w:b/>
                <w:bCs/>
                <w:color w:val="auto"/>
                <w:highlight w:val="none"/>
              </w:rPr>
            </w:pPr>
            <w:r>
              <w:rPr>
                <w:rFonts w:hint="eastAsia"/>
                <w:b/>
                <w:bCs/>
                <w:color w:val="auto"/>
                <w:sz w:val="18"/>
                <w:szCs w:val="21"/>
                <w:highlight w:val="none"/>
              </w:rPr>
              <w:t>屏幕：</w:t>
            </w:r>
          </w:p>
        </w:tc>
        <w:tc>
          <w:tcPr>
            <w:tcW w:w="3423"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color w:val="auto"/>
                <w:sz w:val="18"/>
                <w:szCs w:val="21"/>
                <w:highlight w:val="none"/>
              </w:rPr>
              <w:t>1080P</w:t>
            </w:r>
            <w:r>
              <w:rPr>
                <w:rFonts w:hint="eastAsia"/>
                <w:color w:val="auto"/>
                <w:sz w:val="18"/>
                <w:szCs w:val="21"/>
                <w:highlight w:val="none"/>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70" w:type="dxa"/>
            <w:tcBorders>
              <w:top w:val="single" w:color="auto" w:sz="4" w:space="0"/>
              <w:left w:val="single" w:color="auto" w:sz="4" w:space="0"/>
              <w:bottom w:val="single" w:color="auto" w:sz="4" w:space="0"/>
              <w:right w:val="single" w:color="auto" w:sz="4" w:space="0"/>
            </w:tcBorders>
            <w:vAlign w:val="center"/>
          </w:tcPr>
          <w:p>
            <w:pPr>
              <w:jc w:val="left"/>
              <w:rPr>
                <w:b/>
                <w:bCs/>
                <w:color w:val="auto"/>
                <w:highlight w:val="none"/>
              </w:rPr>
            </w:pPr>
            <w:r>
              <w:rPr>
                <w:rFonts w:hint="eastAsia"/>
                <w:b/>
                <w:bCs/>
                <w:color w:val="auto"/>
                <w:sz w:val="18"/>
                <w:szCs w:val="21"/>
                <w:highlight w:val="none"/>
              </w:rPr>
              <w:t>处理器：</w:t>
            </w:r>
          </w:p>
        </w:tc>
        <w:tc>
          <w:tcPr>
            <w:tcW w:w="2806"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21"/>
                <w:highlight w:val="none"/>
              </w:rPr>
            </w:pPr>
            <w:r>
              <w:rPr>
                <w:rFonts w:hint="eastAsia"/>
                <w:color w:val="auto"/>
                <w:sz w:val="18"/>
                <w:szCs w:val="21"/>
                <w:highlight w:val="none"/>
              </w:rPr>
              <w:t>高性能AMOLOGIC S905D3处</w:t>
            </w:r>
          </w:p>
          <w:p>
            <w:pPr>
              <w:jc w:val="left"/>
              <w:rPr>
                <w:color w:val="auto"/>
                <w:sz w:val="18"/>
                <w:szCs w:val="21"/>
                <w:highlight w:val="none"/>
              </w:rPr>
            </w:pPr>
            <w:r>
              <w:rPr>
                <w:rFonts w:hint="eastAsia"/>
                <w:color w:val="auto"/>
                <w:sz w:val="18"/>
                <w:szCs w:val="21"/>
                <w:highlight w:val="none"/>
              </w:rPr>
              <w:t>理器，自带1.2T算力NPU（同等或以上）</w:t>
            </w:r>
          </w:p>
        </w:tc>
        <w:tc>
          <w:tcPr>
            <w:tcW w:w="1578" w:type="dxa"/>
            <w:tcBorders>
              <w:top w:val="single" w:color="auto" w:sz="4" w:space="0"/>
              <w:left w:val="single" w:color="auto" w:sz="4" w:space="0"/>
              <w:bottom w:val="single" w:color="auto" w:sz="4" w:space="0"/>
              <w:right w:val="single" w:color="auto" w:sz="4" w:space="0"/>
            </w:tcBorders>
            <w:vAlign w:val="center"/>
          </w:tcPr>
          <w:p>
            <w:pPr>
              <w:jc w:val="left"/>
              <w:rPr>
                <w:b/>
                <w:bCs/>
                <w:color w:val="auto"/>
                <w:highlight w:val="none"/>
              </w:rPr>
            </w:pPr>
            <w:r>
              <w:rPr>
                <w:rFonts w:hint="eastAsia"/>
                <w:b/>
                <w:bCs/>
                <w:color w:val="auto"/>
                <w:sz w:val="18"/>
                <w:szCs w:val="21"/>
                <w:highlight w:val="none"/>
              </w:rPr>
              <w:t>信息发布：</w:t>
            </w:r>
          </w:p>
        </w:tc>
        <w:tc>
          <w:tcPr>
            <w:tcW w:w="3423"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sz w:val="18"/>
                <w:szCs w:val="21"/>
                <w:highlight w:val="none"/>
              </w:rPr>
              <w:t>设备需支持信息发布功能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70" w:type="dxa"/>
            <w:tcBorders>
              <w:top w:val="single" w:color="auto" w:sz="4" w:space="0"/>
              <w:left w:val="single" w:color="auto" w:sz="4" w:space="0"/>
              <w:bottom w:val="single" w:color="auto" w:sz="4" w:space="0"/>
              <w:right w:val="single" w:color="auto" w:sz="4" w:space="0"/>
            </w:tcBorders>
            <w:vAlign w:val="center"/>
          </w:tcPr>
          <w:p>
            <w:pPr>
              <w:jc w:val="left"/>
              <w:rPr>
                <w:b/>
                <w:bCs/>
                <w:color w:val="auto"/>
                <w:highlight w:val="none"/>
              </w:rPr>
            </w:pPr>
            <w:r>
              <w:rPr>
                <w:rFonts w:hint="eastAsia"/>
                <w:b/>
                <w:bCs/>
                <w:color w:val="auto"/>
                <w:sz w:val="18"/>
                <w:szCs w:val="21"/>
                <w:highlight w:val="none"/>
              </w:rPr>
              <w:t>存储：</w:t>
            </w:r>
          </w:p>
        </w:tc>
        <w:tc>
          <w:tcPr>
            <w:tcW w:w="2806"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sz w:val="18"/>
                <w:szCs w:val="21"/>
                <w:highlight w:val="none"/>
              </w:rPr>
              <w:t>2G 16G存储配置（同等或以上）</w:t>
            </w:r>
          </w:p>
        </w:tc>
        <w:tc>
          <w:tcPr>
            <w:tcW w:w="1578" w:type="dxa"/>
            <w:tcBorders>
              <w:top w:val="single" w:color="auto" w:sz="4" w:space="0"/>
              <w:left w:val="single" w:color="auto" w:sz="4" w:space="0"/>
              <w:bottom w:val="single" w:color="auto" w:sz="4" w:space="0"/>
              <w:right w:val="single" w:color="auto" w:sz="4" w:space="0"/>
            </w:tcBorders>
            <w:vAlign w:val="center"/>
          </w:tcPr>
          <w:p>
            <w:pPr>
              <w:jc w:val="left"/>
              <w:rPr>
                <w:b/>
                <w:bCs/>
                <w:color w:val="auto"/>
                <w:highlight w:val="none"/>
              </w:rPr>
            </w:pPr>
            <w:r>
              <w:rPr>
                <w:rFonts w:hint="eastAsia"/>
                <w:b/>
                <w:bCs/>
                <w:color w:val="auto"/>
                <w:sz w:val="18"/>
                <w:szCs w:val="21"/>
                <w:highlight w:val="none"/>
              </w:rPr>
              <w:t>防水等级：</w:t>
            </w:r>
          </w:p>
        </w:tc>
        <w:tc>
          <w:tcPr>
            <w:tcW w:w="3423"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sz w:val="18"/>
                <w:szCs w:val="21"/>
                <w:highlight w:val="none"/>
              </w:rPr>
              <w:t>IP66（同等或以上）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70" w:type="dxa"/>
            <w:tcBorders>
              <w:top w:val="single" w:color="auto" w:sz="4" w:space="0"/>
              <w:left w:val="single" w:color="auto" w:sz="4" w:space="0"/>
              <w:bottom w:val="single" w:color="auto" w:sz="4" w:space="0"/>
              <w:right w:val="single" w:color="auto" w:sz="4" w:space="0"/>
            </w:tcBorders>
            <w:vAlign w:val="center"/>
          </w:tcPr>
          <w:p>
            <w:pPr>
              <w:jc w:val="left"/>
              <w:rPr>
                <w:b/>
                <w:bCs/>
                <w:color w:val="auto"/>
                <w:sz w:val="18"/>
                <w:szCs w:val="21"/>
                <w:highlight w:val="none"/>
              </w:rPr>
            </w:pPr>
            <w:r>
              <w:rPr>
                <w:rFonts w:hint="eastAsia"/>
                <w:b/>
                <w:bCs/>
                <w:color w:val="auto"/>
                <w:sz w:val="18"/>
                <w:szCs w:val="21"/>
                <w:highlight w:val="none"/>
              </w:rPr>
              <w:t>操作系统：</w:t>
            </w:r>
          </w:p>
        </w:tc>
        <w:tc>
          <w:tcPr>
            <w:tcW w:w="2806" w:type="dxa"/>
            <w:tcBorders>
              <w:top w:val="single" w:color="auto" w:sz="4" w:space="0"/>
              <w:left w:val="single" w:color="auto" w:sz="4" w:space="0"/>
              <w:bottom w:val="single" w:color="auto" w:sz="4" w:space="0"/>
              <w:right w:val="single" w:color="auto" w:sz="4" w:space="0"/>
            </w:tcBorders>
            <w:vAlign w:val="center"/>
          </w:tcPr>
          <w:p>
            <w:pPr>
              <w:jc w:val="left"/>
              <w:rPr>
                <w:color w:val="auto"/>
                <w:sz w:val="18"/>
                <w:szCs w:val="21"/>
                <w:highlight w:val="none"/>
              </w:rPr>
            </w:pPr>
            <w:r>
              <w:rPr>
                <w:rFonts w:hint="eastAsia"/>
                <w:color w:val="auto"/>
                <w:sz w:val="18"/>
                <w:szCs w:val="21"/>
                <w:highlight w:val="none"/>
              </w:rPr>
              <w:t>安卓</w:t>
            </w:r>
            <w:r>
              <w:rPr>
                <w:color w:val="auto"/>
                <w:sz w:val="18"/>
                <w:szCs w:val="21"/>
                <w:highlight w:val="none"/>
              </w:rPr>
              <w:t>/</w:t>
            </w:r>
            <w:r>
              <w:rPr>
                <w:rFonts w:hint="eastAsia"/>
                <w:color w:val="auto"/>
                <w:sz w:val="18"/>
                <w:szCs w:val="21"/>
                <w:highlight w:val="none"/>
              </w:rPr>
              <w:t>鸿蒙</w:t>
            </w:r>
          </w:p>
        </w:tc>
        <w:tc>
          <w:tcPr>
            <w:tcW w:w="1578" w:type="dxa"/>
            <w:tcBorders>
              <w:top w:val="single" w:color="auto" w:sz="4" w:space="0"/>
              <w:left w:val="single" w:color="auto" w:sz="4" w:space="0"/>
              <w:bottom w:val="single" w:color="auto" w:sz="4" w:space="0"/>
              <w:right w:val="single" w:color="auto" w:sz="4" w:space="0"/>
            </w:tcBorders>
            <w:vAlign w:val="center"/>
          </w:tcPr>
          <w:p>
            <w:pPr>
              <w:jc w:val="left"/>
              <w:rPr>
                <w:b/>
                <w:bCs/>
                <w:color w:val="auto"/>
                <w:highlight w:val="none"/>
              </w:rPr>
            </w:pPr>
            <w:r>
              <w:rPr>
                <w:rFonts w:hint="eastAsia"/>
                <w:b/>
                <w:bCs/>
                <w:color w:val="auto"/>
                <w:sz w:val="18"/>
                <w:szCs w:val="21"/>
                <w:highlight w:val="none"/>
              </w:rPr>
              <w:t>安装方式：</w:t>
            </w:r>
          </w:p>
        </w:tc>
        <w:tc>
          <w:tcPr>
            <w:tcW w:w="3423"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color w:val="auto"/>
                <w:sz w:val="18"/>
                <w:szCs w:val="21"/>
                <w:highlight w:val="none"/>
              </w:rPr>
              <w:t>壁挂、支持嵌入安装</w:t>
            </w:r>
          </w:p>
        </w:tc>
      </w:tr>
    </w:tbl>
    <w:p>
      <w:pPr>
        <w:rPr>
          <w:color w:val="auto"/>
          <w:highlight w:val="none"/>
        </w:rPr>
      </w:pPr>
      <w:r>
        <w:rPr>
          <w:rFonts w:hint="eastAsia"/>
          <w:color w:val="auto"/>
          <w:highlight w:val="none"/>
        </w:rPr>
        <w:t xml:space="preserve"> </w:t>
      </w:r>
      <w:r>
        <w:rPr>
          <w:color w:val="auto"/>
          <w:highlight w:val="none"/>
        </w:rPr>
        <w:t xml:space="preserve"> </w:t>
      </w:r>
    </w:p>
    <w:p>
      <w:pPr>
        <w:snapToGrid w:val="0"/>
        <w:spacing w:line="360" w:lineRule="auto"/>
        <w:outlineLvl w:val="1"/>
        <w:rPr>
          <w:rFonts w:ascii="宋体" w:hAnsi="宋体"/>
          <w:b/>
          <w:color w:val="auto"/>
          <w:highlight w:val="none"/>
        </w:rPr>
      </w:pPr>
      <w:bookmarkStart w:id="466" w:name="_Toc5766"/>
      <w:bookmarkStart w:id="467" w:name="_Toc16533"/>
      <w:bookmarkStart w:id="468" w:name="_Toc12239"/>
      <w:bookmarkStart w:id="469" w:name="_Toc23193"/>
      <w:bookmarkStart w:id="470" w:name="_Toc11200"/>
      <w:bookmarkStart w:id="471" w:name="_Toc135743371"/>
      <w:bookmarkStart w:id="472" w:name="_Toc35"/>
      <w:bookmarkStart w:id="473" w:name="_Toc17797"/>
      <w:bookmarkStart w:id="474" w:name="_Toc7439"/>
      <w:bookmarkStart w:id="475" w:name="_Toc16878"/>
      <w:bookmarkStart w:id="476" w:name="_Toc5308"/>
      <w:r>
        <w:rPr>
          <w:b/>
          <w:color w:val="auto"/>
          <w:highlight w:val="none"/>
        </w:rPr>
        <w:t>2</w:t>
      </w:r>
      <w:r>
        <w:rPr>
          <w:rFonts w:hint="eastAsia"/>
          <w:b/>
          <w:color w:val="auto"/>
          <w:highlight w:val="none"/>
        </w:rPr>
        <w:t>．控制模块技术要求</w:t>
      </w:r>
      <w:bookmarkEnd w:id="466"/>
      <w:bookmarkEnd w:id="467"/>
      <w:bookmarkEnd w:id="468"/>
      <w:bookmarkEnd w:id="469"/>
      <w:bookmarkEnd w:id="470"/>
      <w:bookmarkEnd w:id="471"/>
      <w:bookmarkEnd w:id="472"/>
      <w:bookmarkEnd w:id="473"/>
      <w:bookmarkEnd w:id="474"/>
      <w:bookmarkEnd w:id="475"/>
      <w:bookmarkEnd w:id="476"/>
    </w:p>
    <w:tbl>
      <w:tblPr>
        <w:tblStyle w:val="16"/>
        <w:tblW w:w="9077"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2702"/>
        <w:gridCol w:w="1229"/>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892" w:type="dxa"/>
            <w:tcBorders>
              <w:top w:val="single" w:color="auto" w:sz="4" w:space="0"/>
              <w:left w:val="single" w:color="auto" w:sz="4" w:space="0"/>
              <w:bottom w:val="single" w:color="auto" w:sz="4" w:space="0"/>
              <w:right w:val="single" w:color="auto" w:sz="4" w:space="0"/>
            </w:tcBorders>
            <w:vAlign w:val="center"/>
          </w:tcPr>
          <w:p>
            <w:pPr>
              <w:jc w:val="left"/>
              <w:rPr>
                <w:color w:val="auto"/>
                <w:highlight w:val="none"/>
              </w:rPr>
            </w:pPr>
            <w:r>
              <w:rPr>
                <w:rFonts w:hint="eastAsia"/>
                <w:b/>
                <w:bCs/>
                <w:color w:val="auto"/>
                <w:sz w:val="20"/>
                <w:szCs w:val="22"/>
                <w:highlight w:val="none"/>
              </w:rPr>
              <w:t>技术规格</w:t>
            </w:r>
          </w:p>
        </w:tc>
        <w:tc>
          <w:tcPr>
            <w:tcW w:w="7185" w:type="dxa"/>
            <w:gridSpan w:val="3"/>
            <w:tcBorders>
              <w:top w:val="single" w:color="auto" w:sz="4" w:space="0"/>
              <w:left w:val="single" w:color="auto" w:sz="4" w:space="0"/>
              <w:bottom w:val="single" w:color="auto" w:sz="4" w:space="0"/>
              <w:right w:val="single" w:color="auto" w:sz="4" w:space="0"/>
            </w:tcBorders>
            <w:vAlign w:val="center"/>
          </w:tcPr>
          <w:p>
            <w:pPr>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92"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21"/>
                <w:highlight w:val="none"/>
              </w:rPr>
            </w:pPr>
            <w:r>
              <w:rPr>
                <w:b/>
                <w:bCs/>
                <w:color w:val="auto"/>
                <w:sz w:val="16"/>
                <w:szCs w:val="16"/>
                <w:highlight w:val="none"/>
              </w:rPr>
              <w:t>环境光检测</w:t>
            </w:r>
          </w:p>
        </w:tc>
        <w:tc>
          <w:tcPr>
            <w:tcW w:w="2702"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8"/>
                <w:szCs w:val="21"/>
                <w:highlight w:val="none"/>
              </w:rPr>
            </w:pPr>
            <w:r>
              <w:rPr>
                <w:rFonts w:hint="eastAsia"/>
                <w:color w:val="auto"/>
                <w:sz w:val="16"/>
                <w:szCs w:val="16"/>
                <w:highlight w:val="none"/>
              </w:rPr>
              <w:t>照度检测功能</w:t>
            </w:r>
          </w:p>
        </w:tc>
        <w:tc>
          <w:tcPr>
            <w:tcW w:w="1229"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21"/>
                <w:highlight w:val="none"/>
              </w:rPr>
            </w:pPr>
            <w:r>
              <w:rPr>
                <w:b/>
                <w:bCs/>
                <w:color w:val="auto"/>
                <w:sz w:val="16"/>
                <w:szCs w:val="16"/>
                <w:highlight w:val="none"/>
              </w:rPr>
              <w:t>工作电压</w:t>
            </w:r>
          </w:p>
        </w:tc>
        <w:tc>
          <w:tcPr>
            <w:tcW w:w="3254"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8"/>
                <w:szCs w:val="21"/>
                <w:highlight w:val="none"/>
              </w:rPr>
            </w:pPr>
            <w:r>
              <w:rPr>
                <w:color w:val="auto"/>
                <w:sz w:val="16"/>
                <w:szCs w:val="16"/>
                <w:highlight w:val="none"/>
              </w:rPr>
              <w:t>110VAC~240VAC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92"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21"/>
                <w:highlight w:val="none"/>
              </w:rPr>
            </w:pPr>
            <w:r>
              <w:rPr>
                <w:b/>
                <w:bCs/>
                <w:color w:val="auto"/>
                <w:sz w:val="16"/>
                <w:szCs w:val="16"/>
                <w:highlight w:val="none"/>
              </w:rPr>
              <w:t>温湿度范围</w:t>
            </w:r>
          </w:p>
        </w:tc>
        <w:tc>
          <w:tcPr>
            <w:tcW w:w="2702"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8"/>
                <w:szCs w:val="21"/>
                <w:highlight w:val="none"/>
              </w:rPr>
            </w:pPr>
            <w:r>
              <w:rPr>
                <w:color w:val="auto"/>
                <w:sz w:val="16"/>
                <w:szCs w:val="16"/>
                <w:highlight w:val="none"/>
              </w:rPr>
              <w:t>温度-20℃+60℃，湿度0%RH-100%RH</w:t>
            </w:r>
          </w:p>
        </w:tc>
        <w:tc>
          <w:tcPr>
            <w:tcW w:w="1229"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21"/>
                <w:highlight w:val="none"/>
              </w:rPr>
            </w:pPr>
            <w:r>
              <w:rPr>
                <w:b/>
                <w:bCs/>
                <w:color w:val="auto"/>
                <w:sz w:val="16"/>
                <w:szCs w:val="16"/>
                <w:highlight w:val="none"/>
              </w:rPr>
              <w:t>输出电压</w:t>
            </w:r>
          </w:p>
        </w:tc>
        <w:tc>
          <w:tcPr>
            <w:tcW w:w="3254"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8"/>
                <w:szCs w:val="21"/>
                <w:highlight w:val="none"/>
              </w:rPr>
            </w:pPr>
            <w:r>
              <w:rPr>
                <w:rFonts w:hint="eastAsia"/>
                <w:color w:val="auto"/>
                <w:sz w:val="16"/>
                <w:szCs w:val="16"/>
                <w:highlight w:val="none"/>
              </w:rPr>
              <w:t>具有供电输出接口可给其他设备供电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92"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21"/>
                <w:highlight w:val="none"/>
              </w:rPr>
            </w:pPr>
            <w:r>
              <w:rPr>
                <w:b/>
                <w:bCs/>
                <w:color w:val="auto"/>
                <w:sz w:val="16"/>
                <w:szCs w:val="16"/>
                <w:highlight w:val="none"/>
              </w:rPr>
              <w:t>温湿度精度</w:t>
            </w:r>
          </w:p>
        </w:tc>
        <w:tc>
          <w:tcPr>
            <w:tcW w:w="2702"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kern w:val="2"/>
                <w:sz w:val="21"/>
                <w:highlight w:val="none"/>
              </w:rPr>
            </w:pPr>
            <w:r>
              <w:rPr>
                <w:color w:val="auto"/>
                <w:sz w:val="16"/>
                <w:szCs w:val="16"/>
                <w:highlight w:val="none"/>
              </w:rPr>
              <w:t>温度±0.3℃(25℃)，湿度±3%RH(25℃)</w:t>
            </w:r>
          </w:p>
        </w:tc>
        <w:tc>
          <w:tcPr>
            <w:tcW w:w="1229"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21"/>
                <w:highlight w:val="none"/>
              </w:rPr>
            </w:pPr>
            <w:r>
              <w:rPr>
                <w:b/>
                <w:bCs/>
                <w:color w:val="auto"/>
                <w:sz w:val="16"/>
                <w:szCs w:val="16"/>
                <w:highlight w:val="none"/>
              </w:rPr>
              <w:t>物理按键</w:t>
            </w:r>
          </w:p>
        </w:tc>
        <w:tc>
          <w:tcPr>
            <w:tcW w:w="3254"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8"/>
                <w:szCs w:val="21"/>
                <w:highlight w:val="none"/>
              </w:rPr>
            </w:pPr>
            <w:r>
              <w:rPr>
                <w:rFonts w:hint="eastAsia"/>
                <w:color w:val="auto"/>
                <w:sz w:val="16"/>
                <w:szCs w:val="16"/>
                <w:highlight w:val="none"/>
              </w:rPr>
              <w:t>具有不少于</w:t>
            </w:r>
            <w:r>
              <w:rPr>
                <w:color w:val="auto"/>
                <w:sz w:val="16"/>
                <w:szCs w:val="16"/>
                <w:highlight w:val="none"/>
              </w:rPr>
              <w:t>3</w:t>
            </w:r>
            <w:r>
              <w:rPr>
                <w:rFonts w:hint="eastAsia"/>
                <w:color w:val="auto"/>
                <w:sz w:val="16"/>
                <w:szCs w:val="16"/>
                <w:highlight w:val="none"/>
              </w:rPr>
              <w:t>按键可本地控制对应回路开闭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92"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21"/>
                <w:highlight w:val="none"/>
              </w:rPr>
            </w:pPr>
            <w:r>
              <w:rPr>
                <w:rFonts w:hint="eastAsia"/>
                <w:b/>
                <w:bCs/>
                <w:color w:val="auto"/>
                <w:sz w:val="16"/>
                <w:szCs w:val="16"/>
                <w:highlight w:val="none"/>
              </w:rPr>
              <w:t>门禁功能接口</w:t>
            </w:r>
          </w:p>
        </w:tc>
        <w:tc>
          <w:tcPr>
            <w:tcW w:w="2702"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kern w:val="2"/>
                <w:sz w:val="21"/>
                <w:highlight w:val="none"/>
              </w:rPr>
            </w:pPr>
            <w:r>
              <w:rPr>
                <w:rFonts w:hint="eastAsia"/>
                <w:color w:val="auto"/>
                <w:sz w:val="16"/>
                <w:szCs w:val="16"/>
                <w:highlight w:val="none"/>
              </w:rPr>
              <w:t>需要</w:t>
            </w:r>
          </w:p>
        </w:tc>
        <w:tc>
          <w:tcPr>
            <w:tcW w:w="1229"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21"/>
                <w:highlight w:val="none"/>
              </w:rPr>
            </w:pPr>
            <w:r>
              <w:rPr>
                <w:b/>
                <w:bCs/>
                <w:color w:val="auto"/>
                <w:sz w:val="16"/>
                <w:szCs w:val="16"/>
                <w:highlight w:val="none"/>
              </w:rPr>
              <w:t>通信接口</w:t>
            </w:r>
          </w:p>
        </w:tc>
        <w:tc>
          <w:tcPr>
            <w:tcW w:w="3254"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kern w:val="2"/>
                <w:sz w:val="21"/>
                <w:highlight w:val="none"/>
              </w:rPr>
            </w:pPr>
            <w:r>
              <w:rPr>
                <w:rFonts w:hint="eastAsia"/>
                <w:color w:val="auto"/>
                <w:sz w:val="16"/>
                <w:szCs w:val="16"/>
                <w:highlight w:val="none"/>
              </w:rPr>
              <w:t>支持R</w:t>
            </w:r>
            <w:r>
              <w:rPr>
                <w:color w:val="auto"/>
                <w:sz w:val="16"/>
                <w:szCs w:val="16"/>
                <w:highlight w:val="none"/>
              </w:rPr>
              <w:t>S485</w:t>
            </w:r>
            <w:r>
              <w:rPr>
                <w:rFonts w:hint="eastAsia"/>
                <w:color w:val="auto"/>
                <w:sz w:val="16"/>
                <w:szCs w:val="16"/>
                <w:highlight w:val="none"/>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892"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kern w:val="2"/>
                <w:sz w:val="18"/>
                <w:szCs w:val="21"/>
                <w:highlight w:val="none"/>
              </w:rPr>
            </w:pPr>
            <w:r>
              <w:rPr>
                <w:rFonts w:hint="eastAsia"/>
                <w:b/>
                <w:bCs/>
                <w:color w:val="auto"/>
                <w:sz w:val="16"/>
                <w:szCs w:val="16"/>
                <w:highlight w:val="none"/>
              </w:rPr>
              <w:t>人体检测功能</w:t>
            </w:r>
          </w:p>
        </w:tc>
        <w:tc>
          <w:tcPr>
            <w:tcW w:w="2702"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kern w:val="2"/>
                <w:sz w:val="18"/>
                <w:szCs w:val="21"/>
                <w:highlight w:val="none"/>
              </w:rPr>
            </w:pPr>
            <w:r>
              <w:rPr>
                <w:rFonts w:hint="eastAsia"/>
                <w:color w:val="auto"/>
                <w:sz w:val="16"/>
                <w:szCs w:val="16"/>
                <w:highlight w:val="none"/>
              </w:rPr>
              <w:t>需要</w:t>
            </w:r>
          </w:p>
        </w:tc>
        <w:tc>
          <w:tcPr>
            <w:tcW w:w="1229"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sz w:val="18"/>
                <w:szCs w:val="18"/>
                <w:highlight w:val="none"/>
              </w:rPr>
            </w:pPr>
            <w:r>
              <w:rPr>
                <w:b/>
                <w:bCs/>
                <w:color w:val="auto"/>
                <w:sz w:val="16"/>
                <w:szCs w:val="16"/>
                <w:highlight w:val="none"/>
              </w:rPr>
              <w:t>照明回路接口</w:t>
            </w:r>
          </w:p>
        </w:tc>
        <w:tc>
          <w:tcPr>
            <w:tcW w:w="3254"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8"/>
                <w:szCs w:val="18"/>
                <w:highlight w:val="none"/>
              </w:rPr>
            </w:pPr>
            <w:r>
              <w:rPr>
                <w:rFonts w:hint="eastAsia"/>
                <w:color w:val="auto"/>
                <w:sz w:val="16"/>
                <w:szCs w:val="16"/>
                <w:highlight w:val="none"/>
              </w:rPr>
              <w:t>不少于3路单火线控制功能</w:t>
            </w:r>
            <w:r>
              <w:rPr>
                <w:color w:val="auto"/>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1892" w:type="dxa"/>
            <w:tcBorders>
              <w:top w:val="single" w:color="auto" w:sz="4" w:space="0"/>
              <w:left w:val="single" w:color="auto" w:sz="4" w:space="0"/>
              <w:bottom w:val="single" w:color="auto" w:sz="4" w:space="0"/>
              <w:right w:val="single" w:color="auto" w:sz="4" w:space="0"/>
            </w:tcBorders>
            <w:vAlign w:val="center"/>
          </w:tcPr>
          <w:p>
            <w:pPr>
              <w:pStyle w:val="13"/>
              <w:widowControl/>
              <w:rPr>
                <w:b/>
                <w:bCs/>
                <w:color w:val="auto"/>
                <w:sz w:val="16"/>
                <w:szCs w:val="16"/>
                <w:highlight w:val="none"/>
              </w:rPr>
            </w:pPr>
            <w:r>
              <w:rPr>
                <w:b/>
                <w:bCs/>
                <w:color w:val="auto"/>
                <w:sz w:val="16"/>
                <w:szCs w:val="16"/>
                <w:highlight w:val="none"/>
              </w:rPr>
              <w:t>消防接口</w:t>
            </w:r>
          </w:p>
        </w:tc>
        <w:tc>
          <w:tcPr>
            <w:tcW w:w="2702"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6"/>
                <w:szCs w:val="16"/>
                <w:highlight w:val="none"/>
              </w:rPr>
            </w:pPr>
            <w:r>
              <w:rPr>
                <w:color w:val="auto"/>
                <w:sz w:val="16"/>
                <w:szCs w:val="16"/>
                <w:highlight w:val="none"/>
              </w:rPr>
              <w:t>x1组、VCC、GND</w:t>
            </w:r>
          </w:p>
        </w:tc>
        <w:tc>
          <w:tcPr>
            <w:tcW w:w="1229"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6"/>
                <w:szCs w:val="16"/>
                <w:highlight w:val="none"/>
              </w:rPr>
            </w:pPr>
            <w:r>
              <w:rPr>
                <w:rFonts w:hint="eastAsia"/>
                <w:b/>
                <w:bCs/>
                <w:color w:val="auto"/>
                <w:sz w:val="16"/>
                <w:szCs w:val="16"/>
                <w:highlight w:val="none"/>
              </w:rPr>
              <w:t>安装方式</w:t>
            </w:r>
          </w:p>
        </w:tc>
        <w:tc>
          <w:tcPr>
            <w:tcW w:w="3254"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6"/>
                <w:szCs w:val="16"/>
                <w:highlight w:val="none"/>
              </w:rPr>
            </w:pPr>
            <w:r>
              <w:rPr>
                <w:rFonts w:hint="eastAsia"/>
                <w:color w:val="auto"/>
                <w:sz w:val="16"/>
                <w:szCs w:val="16"/>
                <w:highlight w:val="none"/>
              </w:rPr>
              <w:t>天花嵌入式安装</w:t>
            </w:r>
          </w:p>
        </w:tc>
      </w:tr>
    </w:tbl>
    <w:p>
      <w:pPr>
        <w:rPr>
          <w:rFonts w:asciiTheme="minorEastAsia" w:hAnsiTheme="minorEastAsia" w:eastAsiaTheme="minorEastAsia"/>
          <w:bCs/>
          <w:color w:val="auto"/>
          <w:highlight w:val="none"/>
        </w:rPr>
      </w:pPr>
    </w:p>
    <w:p>
      <w:pPr>
        <w:numPr>
          <w:ilvl w:val="0"/>
          <w:numId w:val="1"/>
        </w:numPr>
        <w:snapToGrid w:val="0"/>
        <w:spacing w:line="360" w:lineRule="auto"/>
        <w:outlineLvl w:val="1"/>
        <w:rPr>
          <w:b/>
          <w:color w:val="auto"/>
          <w:highlight w:val="none"/>
        </w:rPr>
      </w:pPr>
      <w:bookmarkStart w:id="477" w:name="_Toc19302"/>
      <w:bookmarkStart w:id="478" w:name="_Toc6421"/>
      <w:bookmarkStart w:id="479" w:name="_Toc32659"/>
      <w:bookmarkStart w:id="480" w:name="_Toc439"/>
      <w:bookmarkStart w:id="481" w:name="_Toc19298"/>
      <w:r>
        <w:rPr>
          <w:rFonts w:hint="eastAsia"/>
          <w:b/>
          <w:color w:val="auto"/>
          <w:highlight w:val="none"/>
        </w:rPr>
        <w:t>建议品牌</w:t>
      </w:r>
      <w:bookmarkEnd w:id="477"/>
      <w:bookmarkEnd w:id="478"/>
      <w:bookmarkEnd w:id="479"/>
      <w:bookmarkEnd w:id="480"/>
      <w:bookmarkEnd w:id="481"/>
    </w:p>
    <w:tbl>
      <w:tblPr>
        <w:tblStyle w:val="16"/>
        <w:tblW w:w="9077"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788" w:type="dxa"/>
            <w:tcBorders>
              <w:top w:val="single" w:color="auto" w:sz="4" w:space="0"/>
              <w:left w:val="single" w:color="auto" w:sz="4" w:space="0"/>
              <w:bottom w:val="single" w:color="auto" w:sz="4" w:space="0"/>
              <w:right w:val="single" w:color="auto" w:sz="4" w:space="0"/>
            </w:tcBorders>
            <w:vAlign w:val="center"/>
          </w:tcPr>
          <w:p>
            <w:pPr>
              <w:pStyle w:val="13"/>
              <w:widowControl/>
              <w:jc w:val="center"/>
              <w:rPr>
                <w:color w:val="auto"/>
                <w:sz w:val="16"/>
                <w:szCs w:val="16"/>
                <w:highlight w:val="none"/>
              </w:rPr>
            </w:pPr>
            <w:r>
              <w:rPr>
                <w:rFonts w:hint="eastAsia"/>
                <w:color w:val="auto"/>
                <w:sz w:val="16"/>
                <w:szCs w:val="16"/>
                <w:highlight w:val="none"/>
              </w:rPr>
              <w:t>名称</w:t>
            </w:r>
          </w:p>
        </w:tc>
        <w:tc>
          <w:tcPr>
            <w:tcW w:w="4289" w:type="dxa"/>
            <w:tcBorders>
              <w:top w:val="single" w:color="auto" w:sz="4" w:space="0"/>
              <w:left w:val="single" w:color="auto" w:sz="4" w:space="0"/>
              <w:bottom w:val="single" w:color="auto" w:sz="4" w:space="0"/>
              <w:right w:val="single" w:color="auto" w:sz="4" w:space="0"/>
            </w:tcBorders>
            <w:vAlign w:val="center"/>
          </w:tcPr>
          <w:p>
            <w:pPr>
              <w:pStyle w:val="13"/>
              <w:widowControl/>
              <w:jc w:val="center"/>
              <w:rPr>
                <w:color w:val="auto"/>
                <w:sz w:val="16"/>
                <w:szCs w:val="16"/>
                <w:highlight w:val="none"/>
              </w:rPr>
            </w:pPr>
            <w:r>
              <w:rPr>
                <w:rFonts w:hint="eastAsia"/>
                <w:color w:val="auto"/>
                <w:sz w:val="16"/>
                <w:szCs w:val="16"/>
                <w:highlight w:val="none"/>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788"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6"/>
                <w:szCs w:val="16"/>
                <w:highlight w:val="none"/>
              </w:rPr>
            </w:pPr>
            <w:r>
              <w:rPr>
                <w:rFonts w:hint="eastAsia"/>
                <w:color w:val="auto"/>
                <w:sz w:val="16"/>
                <w:szCs w:val="16"/>
                <w:highlight w:val="none"/>
              </w:rPr>
              <w:t>LED显示部分</w:t>
            </w:r>
          </w:p>
        </w:tc>
        <w:tc>
          <w:tcPr>
            <w:tcW w:w="4289"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6"/>
                <w:szCs w:val="16"/>
                <w:highlight w:val="none"/>
              </w:rPr>
            </w:pPr>
            <w:r>
              <w:rPr>
                <w:rFonts w:hint="eastAsia"/>
                <w:color w:val="auto"/>
                <w:sz w:val="16"/>
                <w:szCs w:val="16"/>
                <w:highlight w:val="none"/>
              </w:rPr>
              <w:t>星光彩、龙大、鑫彩晨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788"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6"/>
                <w:szCs w:val="16"/>
                <w:highlight w:val="none"/>
              </w:rPr>
            </w:pPr>
            <w:r>
              <w:rPr>
                <w:rFonts w:hint="eastAsia"/>
                <w:color w:val="auto"/>
                <w:sz w:val="16"/>
                <w:szCs w:val="16"/>
                <w:highlight w:val="none"/>
              </w:rPr>
              <w:t>控制部分(中控软件、电源模块、智能控制屏)</w:t>
            </w:r>
          </w:p>
        </w:tc>
        <w:tc>
          <w:tcPr>
            <w:tcW w:w="4289" w:type="dxa"/>
            <w:tcBorders>
              <w:top w:val="single" w:color="auto" w:sz="4" w:space="0"/>
              <w:left w:val="single" w:color="auto" w:sz="4" w:space="0"/>
              <w:bottom w:val="single" w:color="auto" w:sz="4" w:space="0"/>
              <w:right w:val="single" w:color="auto" w:sz="4" w:space="0"/>
            </w:tcBorders>
            <w:vAlign w:val="center"/>
          </w:tcPr>
          <w:p>
            <w:pPr>
              <w:pStyle w:val="13"/>
              <w:widowControl/>
              <w:rPr>
                <w:color w:val="auto"/>
                <w:sz w:val="16"/>
                <w:szCs w:val="16"/>
                <w:highlight w:val="none"/>
              </w:rPr>
            </w:pPr>
            <w:r>
              <w:rPr>
                <w:rFonts w:hint="eastAsia"/>
                <w:color w:val="auto"/>
                <w:sz w:val="16"/>
                <w:szCs w:val="16"/>
                <w:highlight w:val="none"/>
              </w:rPr>
              <w:t>达实、合广、ABB</w:t>
            </w:r>
          </w:p>
        </w:tc>
      </w:tr>
    </w:tbl>
    <w:p>
      <w:pPr>
        <w:numPr>
          <w:ilvl w:val="255"/>
          <w:numId w:val="0"/>
        </w:numPr>
        <w:snapToGrid w:val="0"/>
        <w:spacing w:line="360" w:lineRule="auto"/>
        <w:outlineLvl w:val="1"/>
        <w:rPr>
          <w:b/>
          <w:color w:val="auto"/>
          <w:highlight w:val="none"/>
        </w:rPr>
      </w:pPr>
    </w:p>
    <w:p>
      <w:pPr>
        <w:rPr>
          <w:color w:val="auto"/>
          <w:highlight w:val="none"/>
        </w:rPr>
      </w:pPr>
    </w:p>
    <w:p>
      <w:pPr>
        <w:rPr>
          <w:color w:val="auto"/>
          <w:highlight w:val="none"/>
        </w:rPr>
      </w:pPr>
      <w:bookmarkStart w:id="482" w:name="_Toc2617"/>
      <w:bookmarkStart w:id="483" w:name="_Toc26998"/>
      <w:bookmarkStart w:id="484" w:name="_Toc30653"/>
      <w:bookmarkStart w:id="485" w:name="_Toc1261"/>
      <w:bookmarkStart w:id="486" w:name="_Toc135743372"/>
      <w:bookmarkStart w:id="487" w:name="_Toc719"/>
      <w:r>
        <w:rPr>
          <w:rFonts w:hint="eastAsia"/>
          <w:color w:val="auto"/>
          <w:highlight w:val="none"/>
        </w:rPr>
        <w:br w:type="page"/>
      </w:r>
    </w:p>
    <w:p>
      <w:pPr>
        <w:pStyle w:val="14"/>
        <w:rPr>
          <w:color w:val="auto"/>
          <w:highlight w:val="none"/>
        </w:rPr>
      </w:pPr>
      <w:bookmarkStart w:id="488" w:name="_Toc10344"/>
      <w:bookmarkStart w:id="489" w:name="_Toc20763"/>
      <w:bookmarkStart w:id="490" w:name="_Toc12465"/>
      <w:bookmarkStart w:id="491" w:name="_Toc15172"/>
      <w:bookmarkStart w:id="492" w:name="_Toc20475"/>
      <w:r>
        <w:rPr>
          <w:rFonts w:hint="eastAsia"/>
          <w:color w:val="auto"/>
          <w:highlight w:val="none"/>
        </w:rPr>
        <w:t>第三章 投标书格式</w:t>
      </w:r>
      <w:bookmarkEnd w:id="482"/>
      <w:bookmarkEnd w:id="483"/>
      <w:bookmarkEnd w:id="484"/>
      <w:bookmarkEnd w:id="485"/>
      <w:bookmarkEnd w:id="486"/>
      <w:bookmarkEnd w:id="487"/>
      <w:bookmarkEnd w:id="488"/>
      <w:bookmarkEnd w:id="489"/>
      <w:bookmarkEnd w:id="490"/>
      <w:bookmarkEnd w:id="491"/>
      <w:bookmarkEnd w:id="492"/>
    </w:p>
    <w:p>
      <w:pPr>
        <w:tabs>
          <w:tab w:val="left" w:pos="1620"/>
        </w:tabs>
        <w:jc w:val="center"/>
        <w:rPr>
          <w:b/>
          <w:bCs/>
          <w:color w:val="auto"/>
          <w:sz w:val="30"/>
          <w:highlight w:val="none"/>
        </w:rPr>
      </w:pPr>
    </w:p>
    <w:p>
      <w:pPr>
        <w:ind w:firstLine="560" w:firstLineChars="200"/>
        <w:rPr>
          <w:color w:val="auto"/>
          <w:sz w:val="28"/>
          <w:highlight w:val="none"/>
        </w:rPr>
      </w:pPr>
      <w:r>
        <w:rPr>
          <w:rFonts w:hint="eastAsia"/>
          <w:color w:val="auto"/>
          <w:sz w:val="28"/>
          <w:highlight w:val="none"/>
        </w:rPr>
        <w:t>附：（1）投标函；</w:t>
      </w:r>
    </w:p>
    <w:p>
      <w:pPr>
        <w:ind w:firstLine="980" w:firstLineChars="350"/>
        <w:rPr>
          <w:color w:val="auto"/>
          <w:sz w:val="28"/>
          <w:highlight w:val="none"/>
        </w:rPr>
      </w:pPr>
      <w:r>
        <w:rPr>
          <w:rFonts w:hint="eastAsia"/>
          <w:color w:val="auto"/>
          <w:sz w:val="28"/>
          <w:highlight w:val="none"/>
        </w:rPr>
        <w:t>（2）投标报价书；</w:t>
      </w:r>
    </w:p>
    <w:p>
      <w:pPr>
        <w:ind w:firstLine="980" w:firstLineChars="350"/>
        <w:rPr>
          <w:color w:val="auto"/>
          <w:sz w:val="28"/>
          <w:highlight w:val="none"/>
        </w:rPr>
      </w:pPr>
      <w:r>
        <w:rPr>
          <w:rFonts w:hint="eastAsia"/>
          <w:color w:val="auto"/>
          <w:sz w:val="28"/>
          <w:highlight w:val="none"/>
        </w:rPr>
        <w:t>（3）法定代表人身份证明书；</w:t>
      </w:r>
    </w:p>
    <w:p>
      <w:pPr>
        <w:ind w:firstLine="980" w:firstLineChars="350"/>
        <w:rPr>
          <w:color w:val="auto"/>
          <w:sz w:val="28"/>
          <w:highlight w:val="none"/>
        </w:rPr>
      </w:pPr>
      <w:r>
        <w:rPr>
          <w:rFonts w:hint="eastAsia"/>
          <w:color w:val="auto"/>
          <w:sz w:val="28"/>
          <w:highlight w:val="none"/>
        </w:rPr>
        <w:t>（4）投标文件签署授权委托书；</w:t>
      </w:r>
    </w:p>
    <w:p>
      <w:pPr>
        <w:ind w:firstLine="980" w:firstLineChars="350"/>
        <w:rPr>
          <w:color w:val="auto"/>
          <w:sz w:val="28"/>
          <w:highlight w:val="none"/>
        </w:rPr>
      </w:pPr>
      <w:r>
        <w:rPr>
          <w:rFonts w:hint="eastAsia"/>
          <w:color w:val="auto"/>
          <w:sz w:val="28"/>
          <w:highlight w:val="none"/>
        </w:rPr>
        <w:t>（5）服务承诺；</w:t>
      </w:r>
    </w:p>
    <w:p>
      <w:pPr>
        <w:ind w:firstLine="980" w:firstLineChars="350"/>
        <w:rPr>
          <w:color w:val="auto"/>
          <w:sz w:val="28"/>
          <w:highlight w:val="none"/>
        </w:rPr>
      </w:pPr>
      <w:r>
        <w:rPr>
          <w:rFonts w:hint="eastAsia"/>
          <w:color w:val="auto"/>
          <w:sz w:val="28"/>
          <w:highlight w:val="none"/>
        </w:rPr>
        <w:t>（6）制造厂商的授权</w:t>
      </w:r>
      <w:r>
        <w:rPr>
          <w:color w:val="auto"/>
          <w:sz w:val="28"/>
          <w:highlight w:val="none"/>
        </w:rPr>
        <w:t>书（若原厂投标则无需）</w:t>
      </w:r>
      <w:r>
        <w:rPr>
          <w:rFonts w:hint="eastAsia"/>
          <w:color w:val="auto"/>
          <w:sz w:val="28"/>
          <w:highlight w:val="none"/>
        </w:rPr>
        <w:t>。</w:t>
      </w:r>
    </w:p>
    <w:p>
      <w:pPr>
        <w:ind w:firstLine="980" w:firstLineChars="350"/>
        <w:rPr>
          <w:color w:val="auto"/>
          <w:sz w:val="28"/>
          <w:highlight w:val="none"/>
        </w:rPr>
      </w:pPr>
    </w:p>
    <w:p>
      <w:pPr>
        <w:rPr>
          <w:b/>
          <w:bCs/>
          <w:color w:val="auto"/>
          <w:sz w:val="18"/>
          <w:highlight w:val="none"/>
        </w:rPr>
        <w:sectPr>
          <w:footerReference r:id="rId7" w:type="default"/>
          <w:pgSz w:w="11906" w:h="16838"/>
          <w:pgMar w:top="1418" w:right="1418" w:bottom="1418" w:left="1418" w:header="851" w:footer="992" w:gutter="170"/>
          <w:pgNumType w:start="1"/>
          <w:cols w:space="720" w:num="1"/>
          <w:docGrid w:type="lines" w:linePitch="560" w:charSpace="0"/>
        </w:sectPr>
      </w:pPr>
    </w:p>
    <w:p>
      <w:pPr>
        <w:pStyle w:val="2"/>
        <w:rPr>
          <w:color w:val="auto"/>
          <w:highlight w:val="none"/>
        </w:rPr>
      </w:pPr>
      <w:bookmarkStart w:id="493" w:name="_Toc21007"/>
      <w:bookmarkStart w:id="494" w:name="_Toc7307"/>
      <w:bookmarkStart w:id="495" w:name="_Toc30592"/>
      <w:bookmarkStart w:id="496" w:name="_Toc12060"/>
      <w:bookmarkStart w:id="497" w:name="_Toc2048"/>
      <w:bookmarkStart w:id="498" w:name="_Toc24288"/>
      <w:bookmarkStart w:id="499" w:name="_Toc135743373"/>
      <w:bookmarkStart w:id="500" w:name="_Toc11655"/>
      <w:bookmarkStart w:id="501" w:name="_Toc15716"/>
      <w:bookmarkStart w:id="502" w:name="_Toc29395"/>
      <w:bookmarkStart w:id="503" w:name="_Toc6712"/>
      <w:r>
        <w:rPr>
          <w:rFonts w:hint="eastAsia"/>
          <w:color w:val="auto"/>
          <w:highlight w:val="none"/>
        </w:rPr>
        <w:t>附件1</w:t>
      </w:r>
      <w:bookmarkEnd w:id="493"/>
      <w:bookmarkEnd w:id="494"/>
      <w:bookmarkEnd w:id="495"/>
      <w:bookmarkEnd w:id="496"/>
      <w:bookmarkEnd w:id="497"/>
      <w:bookmarkEnd w:id="498"/>
      <w:bookmarkEnd w:id="499"/>
      <w:bookmarkEnd w:id="500"/>
      <w:bookmarkEnd w:id="501"/>
      <w:bookmarkEnd w:id="502"/>
      <w:bookmarkEnd w:id="503"/>
    </w:p>
    <w:p>
      <w:pPr>
        <w:spacing w:line="440" w:lineRule="exact"/>
        <w:jc w:val="center"/>
        <w:rPr>
          <w:b/>
          <w:bCs/>
          <w:color w:val="auto"/>
          <w:sz w:val="18"/>
          <w:highlight w:val="none"/>
        </w:rPr>
      </w:pPr>
      <w:r>
        <w:rPr>
          <w:rFonts w:hint="eastAsia" w:ascii="宋体" w:hAnsi="宋体"/>
          <w:b/>
          <w:bCs/>
          <w:color w:val="auto"/>
          <w:sz w:val="44"/>
          <w:highlight w:val="none"/>
        </w:rPr>
        <w:t>一、投标函</w:t>
      </w:r>
    </w:p>
    <w:p>
      <w:pPr>
        <w:spacing w:line="440" w:lineRule="exact"/>
        <w:jc w:val="left"/>
        <w:rPr>
          <w:rFonts w:ascii="宋体" w:hAnsi="宋体"/>
          <w:color w:val="auto"/>
          <w:highlight w:val="none"/>
        </w:rPr>
      </w:pPr>
      <w:r>
        <w:rPr>
          <w:rFonts w:hint="eastAsia" w:ascii="宋体" w:hAnsi="宋体"/>
          <w:color w:val="auto"/>
          <w:highlight w:val="none"/>
          <w:u w:val="single"/>
        </w:rPr>
        <w:t xml:space="preserve">                            </w:t>
      </w:r>
      <w:r>
        <w:rPr>
          <w:rFonts w:hint="eastAsia" w:ascii="宋体" w:hAnsi="宋体"/>
          <w:color w:val="auto"/>
          <w:highlight w:val="none"/>
        </w:rPr>
        <w:t>：</w:t>
      </w:r>
    </w:p>
    <w:p>
      <w:pPr>
        <w:tabs>
          <w:tab w:val="left" w:pos="1260"/>
        </w:tabs>
        <w:spacing w:line="420" w:lineRule="exact"/>
        <w:ind w:firstLine="420" w:firstLineChars="200"/>
        <w:rPr>
          <w:rFonts w:ascii="宋体" w:hAnsi="宋体"/>
          <w:color w:val="auto"/>
          <w:sz w:val="21"/>
          <w:szCs w:val="21"/>
          <w:highlight w:val="none"/>
        </w:rPr>
      </w:pPr>
      <w:r>
        <w:rPr>
          <w:rFonts w:hint="eastAsia" w:ascii="宋体" w:hAnsi="宋体"/>
          <w:color w:val="auto"/>
          <w:sz w:val="21"/>
          <w:szCs w:val="21"/>
          <w:highlight w:val="none"/>
        </w:rPr>
        <w:t>（一）根据你方招标项目编号为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的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招标文件及相关资料，经考察现场和研究招标文件后，我方愿以</w:t>
      </w:r>
      <w:r>
        <w:rPr>
          <w:rFonts w:hint="eastAsia" w:ascii="宋体" w:hAnsi="宋体"/>
          <w:color w:val="auto"/>
          <w:sz w:val="21"/>
          <w:szCs w:val="21"/>
          <w:highlight w:val="none"/>
          <w:u w:val="single"/>
        </w:rPr>
        <w:t xml:space="preserve">     </w:t>
      </w:r>
      <w:r>
        <w:rPr>
          <w:rFonts w:ascii="宋体" w:hAnsi="宋体"/>
          <w:color w:val="auto"/>
          <w:sz w:val="21"/>
          <w:szCs w:val="21"/>
          <w:highlight w:val="none"/>
          <w:u w:val="single"/>
        </w:rPr>
        <w:t>（币种，金额，单位）</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 </w:t>
      </w:r>
      <w:r>
        <w:rPr>
          <w:rFonts w:ascii="宋体" w:hAnsi="宋体"/>
          <w:color w:val="auto"/>
          <w:sz w:val="21"/>
          <w:szCs w:val="21"/>
          <w:highlight w:val="none"/>
        </w:rPr>
        <w:t>￥</w:t>
      </w:r>
      <w:r>
        <w:rPr>
          <w:rFonts w:hint="eastAsia" w:ascii="宋体" w:hAnsi="宋体"/>
          <w:color w:val="auto"/>
          <w:sz w:val="21"/>
          <w:szCs w:val="21"/>
          <w:highlight w:val="none"/>
          <w:u w:val="single"/>
        </w:rPr>
        <w:t xml:space="preserve">                 元</w:t>
      </w:r>
      <w:r>
        <w:rPr>
          <w:rFonts w:ascii="宋体" w:hAnsi="宋体"/>
          <w:color w:val="auto"/>
          <w:sz w:val="21"/>
          <w:szCs w:val="21"/>
          <w:highlight w:val="none"/>
        </w:rPr>
        <w:t>的投标报价</w:t>
      </w:r>
      <w:r>
        <w:rPr>
          <w:rFonts w:hint="eastAsia" w:ascii="宋体" w:hAnsi="宋体"/>
          <w:color w:val="auto"/>
          <w:sz w:val="21"/>
          <w:szCs w:val="21"/>
          <w:highlight w:val="none"/>
        </w:rPr>
        <w:t>承担开发大厦室内外LED显示屏采购及安装任务，并承担任何产品质量缺陷和保修责任。</w:t>
      </w:r>
    </w:p>
    <w:p>
      <w:pPr>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（二）我方承认投标报价书是我方投标函的组成部分。</w:t>
      </w:r>
    </w:p>
    <w:p>
      <w:pPr>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（三）我单位同意在中标后，保证按中标通知书要求的时间与招标人签定工程合同。否则视为我单位自动放弃中标资格，并承担违约责任。</w:t>
      </w:r>
    </w:p>
    <w:p>
      <w:pPr>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（四）我方投标产品的品牌为</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，我方并保证按照招标文件要求的质量标准，在</w:t>
      </w:r>
      <w:r>
        <w:rPr>
          <w:rFonts w:hint="eastAsia" w:ascii="新宋体" w:hAnsi="新宋体" w:eastAsia="新宋体"/>
          <w:color w:val="auto"/>
          <w:sz w:val="21"/>
          <w:szCs w:val="21"/>
          <w:highlight w:val="none"/>
          <w:u w:val="single"/>
        </w:rPr>
        <w:t>20</w:t>
      </w:r>
      <w:r>
        <w:rPr>
          <w:rFonts w:ascii="新宋体" w:hAnsi="新宋体" w:eastAsia="新宋体"/>
          <w:color w:val="auto"/>
          <w:sz w:val="21"/>
          <w:szCs w:val="21"/>
          <w:highlight w:val="none"/>
          <w:u w:val="single"/>
        </w:rPr>
        <w:t>23</w:t>
      </w:r>
      <w:r>
        <w:rPr>
          <w:rFonts w:hint="eastAsia" w:ascii="新宋体" w:hAnsi="新宋体" w:eastAsia="新宋体"/>
          <w:color w:val="auto"/>
          <w:sz w:val="21"/>
          <w:szCs w:val="21"/>
          <w:highlight w:val="none"/>
          <w:u w:val="single"/>
        </w:rPr>
        <w:t>年    月    日前完成（</w:t>
      </w:r>
      <w:r>
        <w:rPr>
          <w:rFonts w:hint="eastAsia" w:ascii="新宋体" w:hAnsi="新宋体" w:eastAsia="新宋体"/>
          <w:color w:val="auto"/>
          <w:sz w:val="21"/>
          <w:szCs w:val="21"/>
          <w:highlight w:val="none"/>
        </w:rPr>
        <w:t>中标公示结束后第二天</w:t>
      </w:r>
      <w:r>
        <w:rPr>
          <w:rFonts w:hint="eastAsia" w:ascii="宋体" w:hAnsi="宋体"/>
          <w:color w:val="auto"/>
          <w:sz w:val="21"/>
          <w:szCs w:val="21"/>
          <w:highlight w:val="none"/>
        </w:rPr>
        <w:t>开始供货并</w:t>
      </w:r>
      <w:r>
        <w:rPr>
          <w:rFonts w:hint="eastAsia" w:ascii="新宋体" w:hAnsi="新宋体" w:eastAsia="新宋体"/>
          <w:color w:val="auto"/>
          <w:sz w:val="21"/>
          <w:szCs w:val="21"/>
          <w:highlight w:val="none"/>
        </w:rPr>
        <w:t>进场</w:t>
      </w:r>
      <w:r>
        <w:rPr>
          <w:rFonts w:hint="eastAsia" w:ascii="宋体" w:hAnsi="宋体"/>
          <w:color w:val="auto"/>
          <w:sz w:val="21"/>
          <w:szCs w:val="21"/>
          <w:highlight w:val="none"/>
        </w:rPr>
        <w:t>安装，安装进度确保满足总承包单位施工要求）</w:t>
      </w:r>
      <w:r>
        <w:rPr>
          <w:rFonts w:ascii="宋体" w:hAnsi="宋体"/>
          <w:color w:val="auto"/>
          <w:sz w:val="21"/>
          <w:szCs w:val="21"/>
          <w:highlight w:val="none"/>
        </w:rPr>
        <w:t>。</w:t>
      </w:r>
    </w:p>
    <w:p>
      <w:pPr>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五</w:t>
      </w:r>
      <w:r>
        <w:rPr>
          <w:rFonts w:hint="eastAsia" w:ascii="宋体" w:hAnsi="宋体"/>
          <w:color w:val="auto"/>
          <w:sz w:val="21"/>
          <w:szCs w:val="21"/>
          <w:highlight w:val="none"/>
        </w:rPr>
        <w:t>）本单位</w:t>
      </w:r>
      <w:r>
        <w:rPr>
          <w:rFonts w:hint="eastAsia" w:ascii="宋体" w:hAnsi="宋体"/>
          <w:b/>
          <w:color w:val="auto"/>
          <w:sz w:val="21"/>
          <w:szCs w:val="21"/>
          <w:highlight w:val="none"/>
        </w:rPr>
        <w:t>承诺售后服务</w:t>
      </w:r>
      <w:r>
        <w:rPr>
          <w:rFonts w:hint="eastAsia" w:ascii="宋体" w:hAnsi="宋体"/>
          <w:color w:val="auto"/>
          <w:sz w:val="21"/>
          <w:szCs w:val="21"/>
          <w:highlight w:val="none"/>
        </w:rPr>
        <w:t>要求：售后服务响应时间为24小时；</w:t>
      </w:r>
    </w:p>
    <w:p>
      <w:pPr>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六</w:t>
      </w:r>
      <w:r>
        <w:rPr>
          <w:rFonts w:hint="eastAsia" w:ascii="宋体" w:hAnsi="宋体"/>
          <w:color w:val="auto"/>
          <w:sz w:val="21"/>
          <w:szCs w:val="21"/>
          <w:highlight w:val="none"/>
        </w:rPr>
        <w:t>）你方的中标通知书和本投标文件将成为约束双方的合同文件的组成部分。</w:t>
      </w:r>
    </w:p>
    <w:p>
      <w:pPr>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七</w:t>
      </w:r>
      <w:r>
        <w:rPr>
          <w:rFonts w:hint="eastAsia" w:ascii="宋体" w:hAnsi="宋体"/>
          <w:color w:val="auto"/>
          <w:sz w:val="21"/>
          <w:szCs w:val="21"/>
          <w:highlight w:val="none"/>
        </w:rPr>
        <w:t>）我方保证接受招标文件中的其他各项条款。</w:t>
      </w:r>
    </w:p>
    <w:p>
      <w:pPr>
        <w:spacing w:line="420" w:lineRule="exact"/>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以上承诺我方将严格遵守和履行，否则，你方有权取消我方中标资格或终止合同。</w:t>
      </w:r>
    </w:p>
    <w:p>
      <w:pPr>
        <w:spacing w:line="420" w:lineRule="exact"/>
        <w:ind w:firstLine="420" w:firstLineChars="200"/>
        <w:jc w:val="left"/>
        <w:rPr>
          <w:rFonts w:ascii="宋体" w:hAnsi="宋体"/>
          <w:color w:val="auto"/>
          <w:sz w:val="21"/>
          <w:szCs w:val="21"/>
          <w:highlight w:val="none"/>
        </w:rPr>
      </w:pPr>
    </w:p>
    <w:p>
      <w:pPr>
        <w:spacing w:line="420" w:lineRule="exact"/>
        <w:ind w:firstLine="3150" w:firstLineChars="1500"/>
        <w:jc w:val="left"/>
        <w:rPr>
          <w:rFonts w:ascii="宋体" w:hAnsi="宋体"/>
          <w:color w:val="auto"/>
          <w:sz w:val="21"/>
          <w:szCs w:val="21"/>
          <w:highlight w:val="none"/>
        </w:rPr>
      </w:pPr>
      <w:r>
        <w:rPr>
          <w:rFonts w:hint="eastAsia"/>
          <w:color w:val="auto"/>
          <w:sz w:val="21"/>
          <w:szCs w:val="21"/>
          <w:highlight w:val="none"/>
        </w:rPr>
        <w:t>投标单位（公章）：</w:t>
      </w:r>
    </w:p>
    <w:p>
      <w:pPr>
        <w:spacing w:line="420" w:lineRule="exact"/>
        <w:ind w:firstLine="3150" w:firstLineChars="1500"/>
        <w:rPr>
          <w:color w:val="auto"/>
          <w:sz w:val="21"/>
          <w:szCs w:val="21"/>
          <w:highlight w:val="none"/>
        </w:rPr>
      </w:pPr>
      <w:r>
        <w:rPr>
          <w:rFonts w:hint="eastAsia"/>
          <w:color w:val="auto"/>
          <w:sz w:val="21"/>
          <w:szCs w:val="21"/>
          <w:highlight w:val="none"/>
        </w:rPr>
        <w:t>法定代表人或其委托代理人：</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（签章）</w:t>
      </w:r>
    </w:p>
    <w:p>
      <w:pPr>
        <w:spacing w:line="420" w:lineRule="exact"/>
        <w:ind w:firstLine="3150" w:firstLineChars="1500"/>
        <w:rPr>
          <w:color w:val="auto"/>
          <w:sz w:val="21"/>
          <w:szCs w:val="21"/>
          <w:highlight w:val="none"/>
        </w:rPr>
      </w:pPr>
      <w:r>
        <w:rPr>
          <w:rFonts w:hint="eastAsia"/>
          <w:color w:val="auto"/>
          <w:sz w:val="21"/>
          <w:szCs w:val="21"/>
          <w:highlight w:val="none"/>
        </w:rPr>
        <w:t>联系人：</w:t>
      </w:r>
      <w:r>
        <w:rPr>
          <w:rFonts w:hint="eastAsia"/>
          <w:color w:val="auto"/>
          <w:sz w:val="21"/>
          <w:szCs w:val="21"/>
          <w:highlight w:val="none"/>
          <w:u w:val="single"/>
        </w:rPr>
        <w:t xml:space="preserve">            </w:t>
      </w:r>
    </w:p>
    <w:p>
      <w:pPr>
        <w:spacing w:line="420" w:lineRule="exact"/>
        <w:ind w:firstLine="3150" w:firstLineChars="1500"/>
        <w:rPr>
          <w:color w:val="auto"/>
          <w:sz w:val="21"/>
          <w:szCs w:val="21"/>
          <w:highlight w:val="none"/>
        </w:rPr>
      </w:pPr>
      <w:r>
        <w:rPr>
          <w:rFonts w:hint="eastAsia"/>
          <w:color w:val="auto"/>
          <w:sz w:val="21"/>
          <w:szCs w:val="21"/>
          <w:highlight w:val="none"/>
        </w:rPr>
        <w:t>联系电话：</w:t>
      </w:r>
      <w:r>
        <w:rPr>
          <w:rFonts w:hint="eastAsia"/>
          <w:color w:val="auto"/>
          <w:sz w:val="21"/>
          <w:szCs w:val="21"/>
          <w:highlight w:val="none"/>
          <w:u w:val="single"/>
        </w:rPr>
        <w:t xml:space="preserve">            </w:t>
      </w:r>
      <w:r>
        <w:rPr>
          <w:rFonts w:hint="eastAsia"/>
          <w:color w:val="auto"/>
          <w:sz w:val="21"/>
          <w:szCs w:val="21"/>
          <w:highlight w:val="none"/>
        </w:rPr>
        <w:t xml:space="preserve">       </w:t>
      </w:r>
    </w:p>
    <w:p>
      <w:pPr>
        <w:spacing w:line="420" w:lineRule="exact"/>
        <w:ind w:firstLine="3150" w:firstLineChars="1500"/>
        <w:rPr>
          <w:color w:val="auto"/>
          <w:sz w:val="21"/>
          <w:szCs w:val="21"/>
          <w:highlight w:val="none"/>
        </w:rPr>
      </w:pPr>
      <w:r>
        <w:rPr>
          <w:rFonts w:hint="eastAsia"/>
          <w:color w:val="auto"/>
          <w:sz w:val="21"/>
          <w:szCs w:val="21"/>
          <w:highlight w:val="none"/>
        </w:rPr>
        <w:t>地址：</w:t>
      </w:r>
      <w:r>
        <w:rPr>
          <w:rFonts w:hint="eastAsia"/>
          <w:color w:val="auto"/>
          <w:sz w:val="21"/>
          <w:szCs w:val="21"/>
          <w:highlight w:val="none"/>
          <w:u w:val="single"/>
        </w:rPr>
        <w:t xml:space="preserve">               </w:t>
      </w:r>
      <w:r>
        <w:rPr>
          <w:rFonts w:hint="eastAsia"/>
          <w:color w:val="auto"/>
          <w:sz w:val="21"/>
          <w:szCs w:val="21"/>
          <w:highlight w:val="none"/>
        </w:rPr>
        <w:t xml:space="preserve">  </w:t>
      </w:r>
    </w:p>
    <w:p>
      <w:pPr>
        <w:spacing w:line="420" w:lineRule="exact"/>
        <w:rPr>
          <w:color w:val="auto"/>
          <w:sz w:val="21"/>
          <w:szCs w:val="21"/>
          <w:highlight w:val="none"/>
        </w:rPr>
      </w:pPr>
      <w:r>
        <w:rPr>
          <w:rFonts w:hint="eastAsia"/>
          <w:color w:val="auto"/>
          <w:sz w:val="21"/>
          <w:szCs w:val="21"/>
          <w:highlight w:val="none"/>
        </w:rPr>
        <w:t xml:space="preserve">                                                       年    月    日</w:t>
      </w:r>
    </w:p>
    <w:p>
      <w:pPr>
        <w:rPr>
          <w:color w:val="auto"/>
          <w:sz w:val="21"/>
          <w:szCs w:val="21"/>
          <w:highlight w:val="none"/>
        </w:rPr>
      </w:pPr>
      <w:r>
        <w:rPr>
          <w:rFonts w:hint="eastAsia"/>
          <w:color w:val="auto"/>
          <w:sz w:val="21"/>
          <w:szCs w:val="21"/>
          <w:highlight w:val="none"/>
        </w:rPr>
        <w:br w:type="page"/>
      </w:r>
    </w:p>
    <w:p>
      <w:pPr>
        <w:pStyle w:val="2"/>
        <w:rPr>
          <w:color w:val="auto"/>
          <w:highlight w:val="none"/>
        </w:rPr>
      </w:pPr>
      <w:bookmarkStart w:id="504" w:name="_Toc23729"/>
      <w:bookmarkStart w:id="505" w:name="_Toc4646"/>
      <w:bookmarkStart w:id="506" w:name="_Toc11889"/>
      <w:bookmarkStart w:id="507" w:name="_Toc19545"/>
      <w:bookmarkStart w:id="508" w:name="_Toc5432"/>
      <w:bookmarkStart w:id="509" w:name="_Toc6671"/>
      <w:bookmarkStart w:id="510" w:name="_Toc9375"/>
      <w:bookmarkStart w:id="511" w:name="_Toc20314"/>
      <w:bookmarkStart w:id="512" w:name="_Toc135743374"/>
      <w:bookmarkStart w:id="513" w:name="_Toc6353"/>
      <w:bookmarkStart w:id="514" w:name="_Toc14296"/>
      <w:r>
        <w:rPr>
          <w:rFonts w:hint="eastAsia"/>
          <w:color w:val="auto"/>
          <w:highlight w:val="none"/>
        </w:rPr>
        <w:t>附件2</w:t>
      </w:r>
      <w:bookmarkEnd w:id="504"/>
      <w:bookmarkEnd w:id="505"/>
      <w:bookmarkEnd w:id="506"/>
      <w:bookmarkEnd w:id="507"/>
      <w:bookmarkEnd w:id="508"/>
      <w:bookmarkEnd w:id="509"/>
      <w:bookmarkEnd w:id="510"/>
      <w:bookmarkEnd w:id="511"/>
      <w:bookmarkEnd w:id="512"/>
      <w:bookmarkEnd w:id="513"/>
      <w:bookmarkEnd w:id="514"/>
    </w:p>
    <w:p>
      <w:pPr>
        <w:jc w:val="center"/>
        <w:rPr>
          <w:b/>
          <w:color w:val="auto"/>
          <w:sz w:val="32"/>
          <w:szCs w:val="32"/>
          <w:highlight w:val="none"/>
        </w:rPr>
      </w:pPr>
      <w:r>
        <w:rPr>
          <w:rFonts w:hint="eastAsia"/>
          <w:b/>
          <w:color w:val="auto"/>
          <w:sz w:val="32"/>
          <w:szCs w:val="32"/>
          <w:highlight w:val="none"/>
        </w:rPr>
        <w:t>2-1室</w:t>
      </w:r>
      <w:r>
        <w:rPr>
          <w:b/>
          <w:color w:val="auto"/>
          <w:sz w:val="32"/>
          <w:szCs w:val="32"/>
          <w:highlight w:val="none"/>
        </w:rPr>
        <w:t>内</w:t>
      </w:r>
      <w:r>
        <w:rPr>
          <w:rFonts w:hint="eastAsia"/>
          <w:b/>
          <w:color w:val="auto"/>
          <w:sz w:val="32"/>
          <w:szCs w:val="32"/>
          <w:highlight w:val="none"/>
        </w:rPr>
        <w:t>外LED显示屏报价汇总表</w:t>
      </w:r>
    </w:p>
    <w:p>
      <w:pPr>
        <w:jc w:val="center"/>
        <w:rPr>
          <w:b/>
          <w:color w:val="auto"/>
          <w:sz w:val="21"/>
          <w:szCs w:val="21"/>
          <w:highlight w:val="none"/>
        </w:rPr>
      </w:pPr>
    </w:p>
    <w:tbl>
      <w:tblPr>
        <w:tblStyle w:val="15"/>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700"/>
        <w:gridCol w:w="1293"/>
        <w:gridCol w:w="1294"/>
        <w:gridCol w:w="129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jc w:val="center"/>
              <w:rPr>
                <w:color w:val="auto"/>
                <w:sz w:val="21"/>
                <w:szCs w:val="21"/>
                <w:highlight w:val="none"/>
              </w:rPr>
            </w:pPr>
            <w:r>
              <w:rPr>
                <w:rFonts w:hint="eastAsia"/>
                <w:color w:val="auto"/>
                <w:sz w:val="21"/>
                <w:szCs w:val="21"/>
                <w:highlight w:val="none"/>
              </w:rPr>
              <w:t>序号</w:t>
            </w:r>
          </w:p>
        </w:tc>
        <w:tc>
          <w:tcPr>
            <w:tcW w:w="2700" w:type="dxa"/>
            <w:vAlign w:val="center"/>
          </w:tcPr>
          <w:p>
            <w:pPr>
              <w:jc w:val="center"/>
              <w:rPr>
                <w:color w:val="auto"/>
                <w:sz w:val="21"/>
                <w:szCs w:val="21"/>
                <w:highlight w:val="none"/>
              </w:rPr>
            </w:pPr>
            <w:r>
              <w:rPr>
                <w:rFonts w:hint="eastAsia"/>
                <w:color w:val="auto"/>
                <w:sz w:val="21"/>
                <w:szCs w:val="21"/>
                <w:highlight w:val="none"/>
              </w:rPr>
              <w:t>名称</w:t>
            </w:r>
          </w:p>
        </w:tc>
        <w:tc>
          <w:tcPr>
            <w:tcW w:w="1293" w:type="dxa"/>
            <w:vAlign w:val="center"/>
          </w:tcPr>
          <w:p>
            <w:pPr>
              <w:jc w:val="center"/>
              <w:rPr>
                <w:color w:val="auto"/>
                <w:sz w:val="21"/>
                <w:szCs w:val="21"/>
                <w:highlight w:val="none"/>
              </w:rPr>
            </w:pPr>
            <w:r>
              <w:rPr>
                <w:rFonts w:hint="eastAsia"/>
                <w:color w:val="auto"/>
                <w:sz w:val="21"/>
                <w:szCs w:val="21"/>
                <w:highlight w:val="none"/>
              </w:rPr>
              <w:t>单位</w:t>
            </w:r>
          </w:p>
        </w:tc>
        <w:tc>
          <w:tcPr>
            <w:tcW w:w="1294" w:type="dxa"/>
            <w:vAlign w:val="center"/>
          </w:tcPr>
          <w:p>
            <w:pPr>
              <w:jc w:val="center"/>
              <w:rPr>
                <w:color w:val="auto"/>
                <w:sz w:val="21"/>
                <w:szCs w:val="21"/>
                <w:highlight w:val="none"/>
              </w:rPr>
            </w:pPr>
            <w:r>
              <w:rPr>
                <w:rFonts w:hint="eastAsia"/>
                <w:color w:val="auto"/>
                <w:sz w:val="21"/>
                <w:szCs w:val="21"/>
                <w:highlight w:val="none"/>
              </w:rPr>
              <w:t>数量</w:t>
            </w:r>
          </w:p>
        </w:tc>
        <w:tc>
          <w:tcPr>
            <w:tcW w:w="1293" w:type="dxa"/>
            <w:vAlign w:val="center"/>
          </w:tcPr>
          <w:p>
            <w:pPr>
              <w:jc w:val="center"/>
              <w:rPr>
                <w:color w:val="auto"/>
                <w:sz w:val="21"/>
                <w:szCs w:val="21"/>
                <w:highlight w:val="none"/>
              </w:rPr>
            </w:pPr>
            <w:r>
              <w:rPr>
                <w:rFonts w:hint="eastAsia"/>
                <w:color w:val="auto"/>
                <w:sz w:val="21"/>
                <w:szCs w:val="21"/>
                <w:highlight w:val="none"/>
              </w:rPr>
              <w:t>金额</w:t>
            </w:r>
          </w:p>
        </w:tc>
        <w:tc>
          <w:tcPr>
            <w:tcW w:w="1592" w:type="dxa"/>
            <w:vAlign w:val="center"/>
          </w:tcPr>
          <w:p>
            <w:pPr>
              <w:jc w:val="center"/>
              <w:rPr>
                <w:color w:val="auto"/>
                <w:sz w:val="21"/>
                <w:szCs w:val="21"/>
                <w:highlight w:val="none"/>
              </w:rPr>
            </w:pPr>
            <w:r>
              <w:rPr>
                <w:rFonts w:hint="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jc w:val="center"/>
              <w:rPr>
                <w:color w:val="auto"/>
                <w:sz w:val="21"/>
                <w:szCs w:val="21"/>
                <w:highlight w:val="none"/>
              </w:rPr>
            </w:pPr>
            <w:r>
              <w:rPr>
                <w:rFonts w:hint="eastAsia"/>
                <w:color w:val="auto"/>
                <w:sz w:val="21"/>
                <w:szCs w:val="21"/>
                <w:highlight w:val="none"/>
              </w:rPr>
              <w:t>1</w:t>
            </w:r>
          </w:p>
        </w:tc>
        <w:tc>
          <w:tcPr>
            <w:tcW w:w="2700" w:type="dxa"/>
            <w:vAlign w:val="center"/>
          </w:tcPr>
          <w:p>
            <w:pPr>
              <w:jc w:val="center"/>
              <w:rPr>
                <w:color w:val="auto"/>
                <w:sz w:val="21"/>
                <w:szCs w:val="21"/>
                <w:highlight w:val="none"/>
              </w:rPr>
            </w:pPr>
            <w:r>
              <w:rPr>
                <w:rFonts w:hint="eastAsia"/>
                <w:color w:val="auto"/>
                <w:sz w:val="21"/>
                <w:szCs w:val="21"/>
                <w:highlight w:val="none"/>
              </w:rPr>
              <w:t>室外全彩显示屏</w:t>
            </w:r>
          </w:p>
        </w:tc>
        <w:tc>
          <w:tcPr>
            <w:tcW w:w="1293" w:type="dxa"/>
            <w:vAlign w:val="center"/>
          </w:tcPr>
          <w:p>
            <w:pPr>
              <w:jc w:val="center"/>
              <w:rPr>
                <w:color w:val="auto"/>
                <w:sz w:val="21"/>
                <w:szCs w:val="21"/>
                <w:highlight w:val="none"/>
              </w:rPr>
            </w:pPr>
            <w:r>
              <w:rPr>
                <w:rFonts w:hint="eastAsia"/>
                <w:color w:val="auto"/>
                <w:sz w:val="21"/>
                <w:szCs w:val="21"/>
                <w:highlight w:val="none"/>
              </w:rPr>
              <w:t>块</w:t>
            </w:r>
          </w:p>
        </w:tc>
        <w:tc>
          <w:tcPr>
            <w:tcW w:w="1294" w:type="dxa"/>
            <w:vAlign w:val="center"/>
          </w:tcPr>
          <w:p>
            <w:pPr>
              <w:jc w:val="center"/>
              <w:rPr>
                <w:color w:val="auto"/>
                <w:sz w:val="21"/>
                <w:szCs w:val="21"/>
                <w:highlight w:val="none"/>
              </w:rPr>
            </w:pPr>
            <w:r>
              <w:rPr>
                <w:rFonts w:hint="eastAsia"/>
                <w:color w:val="auto"/>
                <w:sz w:val="21"/>
                <w:szCs w:val="21"/>
                <w:highlight w:val="none"/>
              </w:rPr>
              <w:t>1</w:t>
            </w:r>
          </w:p>
        </w:tc>
        <w:tc>
          <w:tcPr>
            <w:tcW w:w="1293" w:type="dxa"/>
            <w:vAlign w:val="center"/>
          </w:tcPr>
          <w:p>
            <w:pPr>
              <w:jc w:val="center"/>
              <w:rPr>
                <w:color w:val="auto"/>
                <w:sz w:val="21"/>
                <w:szCs w:val="21"/>
                <w:highlight w:val="none"/>
              </w:rPr>
            </w:pPr>
          </w:p>
        </w:tc>
        <w:tc>
          <w:tcPr>
            <w:tcW w:w="1592" w:type="dxa"/>
            <w:vAlign w:val="center"/>
          </w:tcPr>
          <w:p>
            <w:pPr>
              <w:spacing w:line="240" w:lineRule="exact"/>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jc w:val="center"/>
              <w:rPr>
                <w:color w:val="auto"/>
                <w:sz w:val="21"/>
                <w:szCs w:val="21"/>
                <w:highlight w:val="none"/>
              </w:rPr>
            </w:pPr>
            <w:r>
              <w:rPr>
                <w:color w:val="auto"/>
                <w:sz w:val="21"/>
                <w:szCs w:val="21"/>
                <w:highlight w:val="none"/>
              </w:rPr>
              <w:t>2</w:t>
            </w:r>
          </w:p>
        </w:tc>
        <w:tc>
          <w:tcPr>
            <w:tcW w:w="2700" w:type="dxa"/>
            <w:vAlign w:val="center"/>
          </w:tcPr>
          <w:p>
            <w:pPr>
              <w:jc w:val="center"/>
              <w:rPr>
                <w:color w:val="auto"/>
                <w:sz w:val="21"/>
                <w:szCs w:val="21"/>
                <w:highlight w:val="none"/>
              </w:rPr>
            </w:pPr>
            <w:r>
              <w:rPr>
                <w:rFonts w:hint="eastAsia"/>
                <w:color w:val="auto"/>
                <w:sz w:val="21"/>
                <w:szCs w:val="21"/>
                <w:highlight w:val="none"/>
              </w:rPr>
              <w:t>室</w:t>
            </w:r>
            <w:r>
              <w:rPr>
                <w:color w:val="auto"/>
                <w:sz w:val="21"/>
                <w:szCs w:val="21"/>
                <w:highlight w:val="none"/>
              </w:rPr>
              <w:t>内</w:t>
            </w:r>
            <w:r>
              <w:rPr>
                <w:rFonts w:hint="eastAsia"/>
                <w:color w:val="auto"/>
                <w:sz w:val="21"/>
                <w:szCs w:val="21"/>
                <w:highlight w:val="none"/>
              </w:rPr>
              <w:t>全彩显示屏</w:t>
            </w:r>
          </w:p>
        </w:tc>
        <w:tc>
          <w:tcPr>
            <w:tcW w:w="1293" w:type="dxa"/>
            <w:vAlign w:val="center"/>
          </w:tcPr>
          <w:p>
            <w:pPr>
              <w:jc w:val="center"/>
              <w:rPr>
                <w:color w:val="auto"/>
                <w:sz w:val="21"/>
                <w:szCs w:val="21"/>
                <w:highlight w:val="none"/>
              </w:rPr>
            </w:pPr>
            <w:r>
              <w:rPr>
                <w:color w:val="auto"/>
                <w:sz w:val="21"/>
                <w:szCs w:val="21"/>
                <w:highlight w:val="none"/>
              </w:rPr>
              <w:t>块</w:t>
            </w:r>
          </w:p>
        </w:tc>
        <w:tc>
          <w:tcPr>
            <w:tcW w:w="1294" w:type="dxa"/>
            <w:vAlign w:val="center"/>
          </w:tcPr>
          <w:p>
            <w:pPr>
              <w:jc w:val="center"/>
              <w:rPr>
                <w:color w:val="auto"/>
                <w:sz w:val="21"/>
                <w:szCs w:val="21"/>
                <w:highlight w:val="none"/>
              </w:rPr>
            </w:pPr>
            <w:r>
              <w:rPr>
                <w:color w:val="auto"/>
                <w:sz w:val="21"/>
                <w:szCs w:val="21"/>
                <w:highlight w:val="none"/>
              </w:rPr>
              <w:t>1</w:t>
            </w:r>
          </w:p>
        </w:tc>
        <w:tc>
          <w:tcPr>
            <w:tcW w:w="1293" w:type="dxa"/>
            <w:vAlign w:val="center"/>
          </w:tcPr>
          <w:p>
            <w:pPr>
              <w:jc w:val="center"/>
              <w:rPr>
                <w:color w:val="auto"/>
                <w:sz w:val="21"/>
                <w:szCs w:val="21"/>
                <w:highlight w:val="none"/>
              </w:rPr>
            </w:pPr>
          </w:p>
        </w:tc>
        <w:tc>
          <w:tcPr>
            <w:tcW w:w="1592"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jc w:val="center"/>
              <w:rPr>
                <w:color w:val="auto"/>
                <w:sz w:val="21"/>
                <w:szCs w:val="21"/>
                <w:highlight w:val="none"/>
              </w:rPr>
            </w:pPr>
            <w:r>
              <w:rPr>
                <w:color w:val="auto"/>
                <w:sz w:val="21"/>
                <w:szCs w:val="21"/>
                <w:highlight w:val="none"/>
              </w:rPr>
              <w:t>3</w:t>
            </w:r>
          </w:p>
        </w:tc>
        <w:tc>
          <w:tcPr>
            <w:tcW w:w="2700" w:type="dxa"/>
            <w:vAlign w:val="center"/>
          </w:tcPr>
          <w:p>
            <w:pPr>
              <w:jc w:val="center"/>
              <w:rPr>
                <w:color w:val="auto"/>
                <w:sz w:val="21"/>
                <w:szCs w:val="21"/>
                <w:highlight w:val="none"/>
              </w:rPr>
            </w:pPr>
            <w:r>
              <w:rPr>
                <w:color w:val="auto"/>
                <w:sz w:val="21"/>
                <w:szCs w:val="21"/>
                <w:highlight w:val="none"/>
              </w:rPr>
              <w:t>智能控制系统</w:t>
            </w:r>
          </w:p>
        </w:tc>
        <w:tc>
          <w:tcPr>
            <w:tcW w:w="1293" w:type="dxa"/>
            <w:vAlign w:val="center"/>
          </w:tcPr>
          <w:p>
            <w:pPr>
              <w:jc w:val="center"/>
              <w:rPr>
                <w:color w:val="auto"/>
                <w:sz w:val="21"/>
                <w:szCs w:val="21"/>
                <w:highlight w:val="none"/>
              </w:rPr>
            </w:pPr>
            <w:r>
              <w:rPr>
                <w:color w:val="auto"/>
                <w:sz w:val="21"/>
                <w:szCs w:val="21"/>
                <w:highlight w:val="none"/>
              </w:rPr>
              <w:t>套</w:t>
            </w:r>
          </w:p>
        </w:tc>
        <w:tc>
          <w:tcPr>
            <w:tcW w:w="1294" w:type="dxa"/>
            <w:vAlign w:val="center"/>
          </w:tcPr>
          <w:p>
            <w:pPr>
              <w:jc w:val="center"/>
              <w:rPr>
                <w:color w:val="auto"/>
                <w:sz w:val="21"/>
                <w:szCs w:val="21"/>
                <w:highlight w:val="none"/>
              </w:rPr>
            </w:pPr>
            <w:r>
              <w:rPr>
                <w:color w:val="auto"/>
                <w:sz w:val="21"/>
                <w:szCs w:val="21"/>
                <w:highlight w:val="none"/>
              </w:rPr>
              <w:t>1</w:t>
            </w:r>
          </w:p>
        </w:tc>
        <w:tc>
          <w:tcPr>
            <w:tcW w:w="1293" w:type="dxa"/>
            <w:vAlign w:val="center"/>
          </w:tcPr>
          <w:p>
            <w:pPr>
              <w:jc w:val="center"/>
              <w:rPr>
                <w:color w:val="auto"/>
                <w:sz w:val="21"/>
                <w:szCs w:val="21"/>
                <w:highlight w:val="none"/>
              </w:rPr>
            </w:pPr>
          </w:p>
        </w:tc>
        <w:tc>
          <w:tcPr>
            <w:tcW w:w="1592" w:type="dxa"/>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48" w:type="dxa"/>
            <w:vAlign w:val="center"/>
          </w:tcPr>
          <w:p>
            <w:pPr>
              <w:jc w:val="center"/>
              <w:rPr>
                <w:color w:val="auto"/>
                <w:sz w:val="21"/>
                <w:szCs w:val="21"/>
                <w:highlight w:val="none"/>
              </w:rPr>
            </w:pPr>
            <w:r>
              <w:rPr>
                <w:color w:val="auto"/>
                <w:sz w:val="21"/>
                <w:szCs w:val="21"/>
                <w:highlight w:val="none"/>
              </w:rPr>
              <w:t>4</w:t>
            </w:r>
          </w:p>
        </w:tc>
        <w:tc>
          <w:tcPr>
            <w:tcW w:w="2700" w:type="dxa"/>
            <w:vAlign w:val="center"/>
          </w:tcPr>
          <w:p>
            <w:pPr>
              <w:jc w:val="center"/>
              <w:rPr>
                <w:color w:val="auto"/>
                <w:sz w:val="21"/>
                <w:szCs w:val="21"/>
                <w:highlight w:val="none"/>
              </w:rPr>
            </w:pPr>
            <w:r>
              <w:rPr>
                <w:rFonts w:hint="eastAsia"/>
                <w:color w:val="auto"/>
                <w:sz w:val="21"/>
                <w:szCs w:val="21"/>
                <w:highlight w:val="none"/>
              </w:rPr>
              <w:t>投标总报价</w:t>
            </w:r>
          </w:p>
        </w:tc>
        <w:tc>
          <w:tcPr>
            <w:tcW w:w="5472" w:type="dxa"/>
            <w:gridSpan w:val="4"/>
            <w:vAlign w:val="center"/>
          </w:tcPr>
          <w:p>
            <w:pPr>
              <w:jc w:val="center"/>
              <w:rPr>
                <w:color w:val="auto"/>
                <w:sz w:val="21"/>
                <w:szCs w:val="21"/>
                <w:highlight w:val="none"/>
              </w:rPr>
            </w:pPr>
            <w:r>
              <w:rPr>
                <w:rFonts w:hint="eastAsia"/>
                <w:color w:val="auto"/>
                <w:sz w:val="21"/>
                <w:szCs w:val="21"/>
                <w:highlight w:val="none"/>
              </w:rPr>
              <w:t>（大写）</w:t>
            </w:r>
            <w:r>
              <w:rPr>
                <w:rFonts w:hint="eastAsia"/>
                <w:color w:val="auto"/>
                <w:sz w:val="21"/>
                <w:szCs w:val="21"/>
                <w:highlight w:val="none"/>
                <w:u w:val="singl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w:t>
            </w:r>
          </w:p>
        </w:tc>
      </w:tr>
    </w:tbl>
    <w:p>
      <w:pPr>
        <w:rPr>
          <w:color w:val="auto"/>
          <w:sz w:val="21"/>
          <w:szCs w:val="21"/>
          <w:highlight w:val="none"/>
        </w:rPr>
      </w:pPr>
      <w:r>
        <w:rPr>
          <w:rFonts w:hint="eastAsia"/>
          <w:color w:val="auto"/>
          <w:sz w:val="21"/>
          <w:szCs w:val="21"/>
          <w:highlight w:val="none"/>
        </w:rPr>
        <w:t>说明：1、总报价应包括为完成本项目所发生的人工费、材料费、运输费、装卸费、制作和安装费、检测费、验收、质量保修、安全措施费、招标代理服务费、招投标综合服务费、质量保修费（包括与显示屏管理部门的配合费）、后续服务、税金、不可预见性风险费、有关规费等有可能发生的一切费用。</w:t>
      </w:r>
    </w:p>
    <w:p>
      <w:pPr>
        <w:rPr>
          <w:color w:val="auto"/>
          <w:sz w:val="21"/>
          <w:szCs w:val="21"/>
          <w:highlight w:val="none"/>
        </w:rPr>
      </w:pPr>
      <w:r>
        <w:rPr>
          <w:rFonts w:hint="eastAsia"/>
          <w:color w:val="auto"/>
          <w:sz w:val="21"/>
          <w:szCs w:val="21"/>
          <w:highlight w:val="none"/>
        </w:rPr>
        <w:t xml:space="preserve">      2、小数点后保留二位。</w:t>
      </w:r>
    </w:p>
    <w:p>
      <w:pPr>
        <w:rPr>
          <w:color w:val="auto"/>
          <w:sz w:val="21"/>
          <w:szCs w:val="21"/>
          <w:highlight w:val="none"/>
        </w:rPr>
      </w:pPr>
      <w:r>
        <w:rPr>
          <w:rFonts w:hint="eastAsia"/>
          <w:color w:val="auto"/>
          <w:sz w:val="21"/>
          <w:szCs w:val="21"/>
          <w:highlight w:val="none"/>
        </w:rPr>
        <w:t xml:space="preserve">      3、投标有效期60日。</w:t>
      </w:r>
    </w:p>
    <w:p>
      <w:pPr>
        <w:rPr>
          <w:color w:val="auto"/>
          <w:sz w:val="21"/>
          <w:szCs w:val="21"/>
          <w:highlight w:val="none"/>
        </w:rPr>
      </w:pPr>
    </w:p>
    <w:p>
      <w:pPr>
        <w:rPr>
          <w:color w:val="auto"/>
          <w:sz w:val="21"/>
          <w:szCs w:val="21"/>
          <w:highlight w:val="none"/>
        </w:rPr>
      </w:pPr>
    </w:p>
    <w:p>
      <w:pPr>
        <w:spacing w:line="360" w:lineRule="auto"/>
        <w:rPr>
          <w:color w:val="auto"/>
          <w:sz w:val="21"/>
          <w:szCs w:val="21"/>
          <w:highlight w:val="none"/>
          <w:u w:val="single"/>
        </w:rPr>
      </w:pPr>
      <w:r>
        <w:rPr>
          <w:color w:val="auto"/>
          <w:sz w:val="21"/>
          <w:szCs w:val="21"/>
          <w:highlight w:val="none"/>
        </w:rPr>
        <w:t xml:space="preserve">                                  </w:t>
      </w:r>
      <w:r>
        <w:rPr>
          <w:rFonts w:hint="eastAsia"/>
          <w:color w:val="auto"/>
          <w:sz w:val="21"/>
          <w:szCs w:val="21"/>
          <w:highlight w:val="none"/>
        </w:rPr>
        <w:t>报价单位：</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 xml:space="preserve">  </w:t>
      </w:r>
    </w:p>
    <w:p>
      <w:pPr>
        <w:spacing w:line="360" w:lineRule="auto"/>
        <w:rPr>
          <w:color w:val="auto"/>
          <w:sz w:val="21"/>
          <w:szCs w:val="21"/>
          <w:highlight w:val="none"/>
        </w:rPr>
      </w:pPr>
      <w:r>
        <w:rPr>
          <w:color w:val="auto"/>
          <w:sz w:val="21"/>
          <w:szCs w:val="21"/>
          <w:highlight w:val="none"/>
        </w:rPr>
        <w:t xml:space="preserve">                                  </w:t>
      </w:r>
      <w:r>
        <w:rPr>
          <w:rFonts w:hint="eastAsia"/>
          <w:color w:val="auto"/>
          <w:sz w:val="21"/>
          <w:szCs w:val="21"/>
          <w:highlight w:val="none"/>
        </w:rPr>
        <w:t>法定代表人或其委托代理人：</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（签章）</w:t>
      </w:r>
    </w:p>
    <w:p>
      <w:pPr>
        <w:spacing w:line="360" w:lineRule="auto"/>
        <w:ind w:firstLine="6090" w:firstLineChars="2900"/>
        <w:rPr>
          <w:color w:val="auto"/>
          <w:sz w:val="21"/>
          <w:szCs w:val="21"/>
          <w:highlight w:val="none"/>
        </w:rPr>
      </w:pPr>
    </w:p>
    <w:p>
      <w:pPr>
        <w:spacing w:line="360" w:lineRule="auto"/>
        <w:ind w:firstLine="6510" w:firstLineChars="3100"/>
        <w:rPr>
          <w:b/>
          <w:color w:val="auto"/>
          <w:sz w:val="44"/>
          <w:szCs w:val="44"/>
          <w:highlight w:val="none"/>
        </w:rPr>
      </w:pPr>
      <w:r>
        <w:rPr>
          <w:rFonts w:hint="eastAsia"/>
          <w:color w:val="auto"/>
          <w:sz w:val="21"/>
          <w:szCs w:val="21"/>
          <w:highlight w:val="none"/>
        </w:rPr>
        <w:t>年     月       日</w:t>
      </w:r>
    </w:p>
    <w:p>
      <w:pPr>
        <w:jc w:val="center"/>
        <w:rPr>
          <w:b/>
          <w:color w:val="auto"/>
          <w:sz w:val="44"/>
          <w:szCs w:val="44"/>
          <w:highlight w:val="none"/>
        </w:rPr>
      </w:pPr>
    </w:p>
    <w:p>
      <w:pPr>
        <w:jc w:val="center"/>
        <w:rPr>
          <w:b/>
          <w:color w:val="auto"/>
          <w:sz w:val="44"/>
          <w:szCs w:val="44"/>
          <w:highlight w:val="none"/>
        </w:rPr>
      </w:pPr>
    </w:p>
    <w:p>
      <w:pPr>
        <w:jc w:val="center"/>
        <w:rPr>
          <w:b/>
          <w:color w:val="auto"/>
          <w:sz w:val="44"/>
          <w:szCs w:val="44"/>
          <w:highlight w:val="none"/>
        </w:rPr>
      </w:pPr>
    </w:p>
    <w:p>
      <w:pPr>
        <w:jc w:val="center"/>
        <w:rPr>
          <w:b/>
          <w:color w:val="auto"/>
          <w:sz w:val="44"/>
          <w:szCs w:val="44"/>
          <w:highlight w:val="none"/>
        </w:rPr>
      </w:pPr>
    </w:p>
    <w:p>
      <w:pPr>
        <w:rPr>
          <w:b/>
          <w:bCs/>
          <w:color w:val="auto"/>
          <w:sz w:val="28"/>
          <w:szCs w:val="28"/>
          <w:highlight w:val="none"/>
        </w:rPr>
      </w:pPr>
      <w:r>
        <w:rPr>
          <w:rFonts w:hint="eastAsia"/>
          <w:b/>
          <w:bCs/>
          <w:color w:val="auto"/>
          <w:sz w:val="28"/>
          <w:szCs w:val="28"/>
          <w:highlight w:val="none"/>
        </w:rPr>
        <w:br w:type="page"/>
      </w:r>
    </w:p>
    <w:p>
      <w:pPr>
        <w:rPr>
          <w:b/>
          <w:bCs/>
          <w:color w:val="auto"/>
          <w:sz w:val="28"/>
          <w:szCs w:val="28"/>
          <w:highlight w:val="none"/>
        </w:rPr>
      </w:pPr>
      <w:r>
        <w:rPr>
          <w:rFonts w:hint="eastAsia"/>
          <w:b/>
          <w:bCs/>
          <w:color w:val="auto"/>
          <w:sz w:val="28"/>
          <w:szCs w:val="28"/>
          <w:highlight w:val="none"/>
        </w:rPr>
        <w:t>2-2</w:t>
      </w:r>
      <w:r>
        <w:rPr>
          <w:b/>
          <w:bCs/>
          <w:color w:val="auto"/>
          <w:sz w:val="28"/>
          <w:szCs w:val="28"/>
          <w:highlight w:val="none"/>
        </w:rPr>
        <w:t>深圳大学土木与工程学院室内外</w:t>
      </w:r>
      <w:r>
        <w:rPr>
          <w:rFonts w:hint="eastAsia"/>
          <w:b/>
          <w:bCs/>
          <w:color w:val="auto"/>
          <w:sz w:val="28"/>
          <w:szCs w:val="28"/>
          <w:highlight w:val="none"/>
        </w:rPr>
        <w:t>LED显示屏设备</w:t>
      </w:r>
      <w:r>
        <w:rPr>
          <w:b/>
          <w:bCs/>
          <w:color w:val="auto"/>
          <w:sz w:val="28"/>
          <w:szCs w:val="28"/>
          <w:highlight w:val="none"/>
        </w:rPr>
        <w:t>（含控制系统）</w:t>
      </w:r>
      <w:r>
        <w:rPr>
          <w:rFonts w:hint="eastAsia"/>
          <w:b/>
          <w:bCs/>
          <w:color w:val="auto"/>
          <w:sz w:val="28"/>
          <w:szCs w:val="28"/>
          <w:highlight w:val="none"/>
        </w:rPr>
        <w:t>清单报价表</w:t>
      </w:r>
    </w:p>
    <w:p>
      <w:pPr>
        <w:jc w:val="center"/>
        <w:rPr>
          <w:b/>
          <w:color w:val="auto"/>
          <w:sz w:val="32"/>
          <w:szCs w:val="32"/>
          <w:highlight w:val="none"/>
        </w:rPr>
      </w:pPr>
    </w:p>
    <w:p>
      <w:pPr>
        <w:jc w:val="center"/>
        <w:rPr>
          <w:b/>
          <w:color w:val="auto"/>
          <w:sz w:val="32"/>
          <w:szCs w:val="32"/>
          <w:highlight w:val="none"/>
        </w:rPr>
      </w:pPr>
      <w:r>
        <w:rPr>
          <w:rFonts w:hint="eastAsia"/>
          <w:b/>
          <w:color w:val="auto"/>
          <w:sz w:val="32"/>
          <w:szCs w:val="32"/>
          <w:highlight w:val="none"/>
        </w:rPr>
        <w:t>表格自制</w:t>
      </w:r>
    </w:p>
    <w:p>
      <w:pPr>
        <w:jc w:val="center"/>
        <w:rPr>
          <w:b/>
          <w:color w:val="auto"/>
          <w:sz w:val="32"/>
          <w:szCs w:val="32"/>
          <w:highlight w:val="none"/>
        </w:rPr>
      </w:pPr>
    </w:p>
    <w:p>
      <w:pPr>
        <w:spacing w:line="300" w:lineRule="exact"/>
        <w:rPr>
          <w:color w:val="auto"/>
          <w:sz w:val="21"/>
          <w:szCs w:val="21"/>
          <w:highlight w:val="none"/>
        </w:rPr>
      </w:pPr>
      <w:r>
        <w:rPr>
          <w:rFonts w:hint="eastAsia"/>
          <w:color w:val="auto"/>
          <w:sz w:val="21"/>
          <w:szCs w:val="21"/>
          <w:highlight w:val="none"/>
        </w:rPr>
        <w:t>说明：1、综合单价、合价、总报价应包括为完成本项目所发生的人工费、材料费、运输费、装卸费、制作和安装费、检测费、验收、质量保修、安全措施费、招标代理服务费、招投标综合服务费、质量保修费（包括与显示屏管理部门的配合费）、后续服务、税金、不可预见性风险费、有关规费等有可能发生的一切费用。</w:t>
      </w:r>
    </w:p>
    <w:p>
      <w:pPr>
        <w:spacing w:line="300" w:lineRule="exact"/>
        <w:ind w:firstLine="735" w:firstLineChars="350"/>
        <w:rPr>
          <w:color w:val="auto"/>
          <w:sz w:val="21"/>
          <w:szCs w:val="21"/>
          <w:highlight w:val="none"/>
        </w:rPr>
      </w:pPr>
      <w:r>
        <w:rPr>
          <w:rFonts w:hint="eastAsia"/>
          <w:color w:val="auto"/>
          <w:sz w:val="21"/>
          <w:szCs w:val="21"/>
          <w:highlight w:val="none"/>
        </w:rPr>
        <w:t>2、小数点后保留二位。</w:t>
      </w:r>
    </w:p>
    <w:p>
      <w:pPr>
        <w:spacing w:line="300" w:lineRule="exact"/>
        <w:ind w:firstLine="4859" w:firstLineChars="2314"/>
        <w:rPr>
          <w:color w:val="auto"/>
          <w:sz w:val="21"/>
          <w:szCs w:val="21"/>
          <w:highlight w:val="none"/>
        </w:rPr>
      </w:pPr>
    </w:p>
    <w:p>
      <w:pPr>
        <w:spacing w:line="300" w:lineRule="exact"/>
        <w:rPr>
          <w:color w:val="auto"/>
          <w:sz w:val="21"/>
          <w:szCs w:val="21"/>
          <w:highlight w:val="none"/>
          <w:u w:val="single"/>
        </w:rPr>
      </w:pPr>
      <w:r>
        <w:rPr>
          <w:color w:val="auto"/>
          <w:sz w:val="21"/>
          <w:szCs w:val="21"/>
          <w:highlight w:val="none"/>
        </w:rPr>
        <w:t xml:space="preserve">                                </w:t>
      </w:r>
      <w:r>
        <w:rPr>
          <w:rFonts w:hint="eastAsia"/>
          <w:color w:val="auto"/>
          <w:sz w:val="21"/>
          <w:szCs w:val="21"/>
          <w:highlight w:val="none"/>
        </w:rPr>
        <w:t>报价单位：</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 xml:space="preserve">     </w:t>
      </w:r>
    </w:p>
    <w:p>
      <w:pPr>
        <w:spacing w:line="300" w:lineRule="exact"/>
        <w:rPr>
          <w:color w:val="auto"/>
          <w:sz w:val="21"/>
          <w:szCs w:val="21"/>
          <w:highlight w:val="none"/>
        </w:rPr>
      </w:pPr>
      <w:r>
        <w:rPr>
          <w:color w:val="auto"/>
          <w:sz w:val="21"/>
          <w:szCs w:val="21"/>
          <w:highlight w:val="none"/>
        </w:rPr>
        <w:t xml:space="preserve">                           </w:t>
      </w:r>
    </w:p>
    <w:p>
      <w:pPr>
        <w:spacing w:line="300" w:lineRule="exact"/>
        <w:rPr>
          <w:color w:val="auto"/>
          <w:sz w:val="21"/>
          <w:szCs w:val="21"/>
          <w:highlight w:val="none"/>
          <w:u w:val="single"/>
        </w:rPr>
      </w:pPr>
      <w:r>
        <w:rPr>
          <w:color w:val="auto"/>
          <w:sz w:val="21"/>
          <w:szCs w:val="21"/>
          <w:highlight w:val="none"/>
        </w:rPr>
        <w:t xml:space="preserve">                                </w:t>
      </w:r>
      <w:r>
        <w:rPr>
          <w:rFonts w:hint="eastAsia"/>
          <w:color w:val="auto"/>
          <w:sz w:val="21"/>
          <w:szCs w:val="21"/>
          <w:highlight w:val="none"/>
        </w:rPr>
        <w:t>法定代表人或其委托代理人：</w:t>
      </w:r>
      <w:r>
        <w:rPr>
          <w:rFonts w:hint="eastAsia"/>
          <w:color w:val="auto"/>
          <w:sz w:val="21"/>
          <w:szCs w:val="21"/>
          <w:highlight w:val="none"/>
          <w:u w:val="single"/>
        </w:rPr>
        <w:t xml:space="preserve">    </w:t>
      </w:r>
      <w:r>
        <w:rPr>
          <w:color w:val="auto"/>
          <w:sz w:val="21"/>
          <w:szCs w:val="21"/>
          <w:highlight w:val="none"/>
          <w:u w:val="single"/>
        </w:rPr>
        <w:t xml:space="preserve">       </w:t>
      </w:r>
      <w:r>
        <w:rPr>
          <w:rFonts w:hint="eastAsia"/>
          <w:color w:val="auto"/>
          <w:sz w:val="21"/>
          <w:szCs w:val="21"/>
          <w:highlight w:val="none"/>
          <w:u w:val="single"/>
        </w:rPr>
        <w:t xml:space="preserve"> （签章）</w:t>
      </w:r>
    </w:p>
    <w:p>
      <w:pPr>
        <w:spacing w:line="300" w:lineRule="exact"/>
        <w:jc w:val="left"/>
        <w:rPr>
          <w:color w:val="auto"/>
          <w:sz w:val="21"/>
          <w:szCs w:val="21"/>
          <w:highlight w:val="none"/>
        </w:rPr>
      </w:pPr>
      <w:r>
        <w:rPr>
          <w:color w:val="auto"/>
          <w:sz w:val="21"/>
          <w:szCs w:val="21"/>
          <w:highlight w:val="none"/>
        </w:rPr>
        <w:t xml:space="preserve"> </w:t>
      </w:r>
    </w:p>
    <w:p>
      <w:pPr>
        <w:spacing w:line="300" w:lineRule="exact"/>
        <w:jc w:val="left"/>
        <w:rPr>
          <w:color w:val="auto"/>
          <w:sz w:val="21"/>
          <w:szCs w:val="21"/>
          <w:highlight w:val="none"/>
        </w:rPr>
      </w:pPr>
      <w:r>
        <w:rPr>
          <w:color w:val="auto"/>
          <w:sz w:val="21"/>
          <w:szCs w:val="21"/>
          <w:highlight w:val="none"/>
        </w:rPr>
        <w:t xml:space="preserve">                                                            </w:t>
      </w:r>
      <w:r>
        <w:rPr>
          <w:rFonts w:hint="eastAsia"/>
          <w:color w:val="auto"/>
          <w:sz w:val="21"/>
          <w:szCs w:val="21"/>
          <w:highlight w:val="none"/>
        </w:rPr>
        <w:t>年     月       日</w:t>
      </w: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jc w:val="left"/>
        <w:rPr>
          <w:b/>
          <w:bCs/>
          <w:color w:val="auto"/>
          <w:sz w:val="18"/>
          <w:highlight w:val="none"/>
        </w:rPr>
      </w:pPr>
    </w:p>
    <w:p>
      <w:pPr>
        <w:rPr>
          <w:color w:val="auto"/>
          <w:highlight w:val="none"/>
        </w:rPr>
      </w:pPr>
      <w:bookmarkStart w:id="515" w:name="_Toc135743375"/>
      <w:bookmarkStart w:id="516" w:name="_Toc25480"/>
      <w:bookmarkStart w:id="517" w:name="_Toc28220"/>
      <w:r>
        <w:rPr>
          <w:rFonts w:hint="eastAsia"/>
          <w:color w:val="auto"/>
          <w:highlight w:val="none"/>
        </w:rPr>
        <w:br w:type="page"/>
      </w:r>
    </w:p>
    <w:p>
      <w:pPr>
        <w:pStyle w:val="2"/>
        <w:rPr>
          <w:color w:val="auto"/>
          <w:highlight w:val="none"/>
        </w:rPr>
      </w:pPr>
      <w:bookmarkStart w:id="518" w:name="_Toc29434"/>
      <w:bookmarkStart w:id="519" w:name="_Toc8112"/>
      <w:bookmarkStart w:id="520" w:name="_Toc15920"/>
      <w:bookmarkStart w:id="521" w:name="_Toc26476"/>
      <w:bookmarkStart w:id="522" w:name="_Toc3242"/>
      <w:bookmarkStart w:id="523" w:name="_Toc26599"/>
      <w:bookmarkStart w:id="524" w:name="_Toc14024"/>
      <w:bookmarkStart w:id="525" w:name="_Toc31258"/>
      <w:r>
        <w:rPr>
          <w:rFonts w:hint="eastAsia"/>
          <w:color w:val="auto"/>
          <w:highlight w:val="none"/>
        </w:rPr>
        <w:t>附件3</w:t>
      </w:r>
      <w:bookmarkEnd w:id="515"/>
      <w:bookmarkEnd w:id="516"/>
      <w:bookmarkEnd w:id="517"/>
      <w:bookmarkEnd w:id="518"/>
      <w:bookmarkEnd w:id="519"/>
      <w:bookmarkEnd w:id="520"/>
      <w:bookmarkEnd w:id="521"/>
      <w:bookmarkEnd w:id="522"/>
      <w:bookmarkEnd w:id="523"/>
      <w:bookmarkEnd w:id="524"/>
      <w:bookmarkEnd w:id="525"/>
    </w:p>
    <w:p>
      <w:pPr>
        <w:spacing w:line="500" w:lineRule="exact"/>
        <w:ind w:firstLine="1767" w:firstLineChars="400"/>
        <w:rPr>
          <w:rFonts w:ascii="宋体" w:hAnsi="宋体" w:eastAsia="楷体" w:cs="楷体"/>
          <w:b/>
          <w:bCs/>
          <w:color w:val="auto"/>
          <w:sz w:val="44"/>
          <w:szCs w:val="44"/>
          <w:highlight w:val="none"/>
        </w:rPr>
      </w:pPr>
      <w:r>
        <w:rPr>
          <w:rFonts w:ascii="楷体" w:hAnsi="楷体" w:eastAsia="楷体" w:cs="楷体"/>
          <w:b/>
          <w:bCs/>
          <w:color w:val="auto"/>
          <w:sz w:val="44"/>
          <w:szCs w:val="44"/>
          <w:highlight w:val="none"/>
          <w:lang w:bidi="ar"/>
        </w:rPr>
        <w:t>法定代表人身份证明书</w:t>
      </w:r>
    </w:p>
    <w:p>
      <w:pPr>
        <w:spacing w:line="500" w:lineRule="exact"/>
        <w:jc w:val="center"/>
        <w:rPr>
          <w:rFonts w:ascii="宋体" w:hAnsi="宋体" w:eastAsia="楷体" w:cs="楷体"/>
          <w:b/>
          <w:bCs/>
          <w:color w:val="auto"/>
          <w:sz w:val="28"/>
          <w:szCs w:val="28"/>
          <w:highlight w:val="none"/>
        </w:rPr>
      </w:pPr>
      <w:r>
        <w:rPr>
          <w:rFonts w:ascii="宋体" w:hAnsi="宋体" w:eastAsia="楷体" w:cs="楷体"/>
          <w:b/>
          <w:bCs/>
          <w:color w:val="auto"/>
          <w:sz w:val="28"/>
          <w:szCs w:val="28"/>
          <w:highlight w:val="none"/>
          <w:lang w:bidi="ar"/>
        </w:rPr>
        <w:t xml:space="preserve"> </w:t>
      </w:r>
    </w:p>
    <w:p>
      <w:pPr>
        <w:spacing w:line="500" w:lineRule="exact"/>
        <w:rPr>
          <w:rFonts w:ascii="宋体" w:hAnsi="宋体" w:eastAsia="楷体" w:cs="宋体"/>
          <w:bCs/>
          <w:color w:val="auto"/>
          <w:highlight w:val="none"/>
          <w:u w:val="single"/>
        </w:rPr>
      </w:pPr>
      <w:r>
        <w:rPr>
          <w:rFonts w:ascii="楷体" w:hAnsi="楷体" w:eastAsia="楷体" w:cs="楷体"/>
          <w:color w:val="auto"/>
          <w:highlight w:val="none"/>
          <w:lang w:bidi="ar"/>
        </w:rPr>
        <w:t>单位名称：</w:t>
      </w:r>
      <w:r>
        <w:rPr>
          <w:rFonts w:ascii="宋体" w:hAnsi="宋体" w:eastAsia="楷体" w:cs="楷体"/>
          <w:b/>
          <w:color w:val="auto"/>
          <w:sz w:val="28"/>
          <w:szCs w:val="28"/>
          <w:highlight w:val="none"/>
          <w:u w:val="single"/>
          <w:lang w:bidi="ar"/>
        </w:rPr>
        <w:t xml:space="preserve">  </w:t>
      </w:r>
      <w:r>
        <w:rPr>
          <w:rFonts w:ascii="宋体" w:hAnsi="宋体" w:eastAsia="楷体" w:cs="楷体"/>
          <w:color w:val="auto"/>
          <w:sz w:val="28"/>
          <w:szCs w:val="28"/>
          <w:highlight w:val="none"/>
          <w:u w:val="single"/>
          <w:lang w:bidi="ar"/>
        </w:rPr>
        <w:t xml:space="preserve">                      </w:t>
      </w:r>
      <w:r>
        <w:rPr>
          <w:rFonts w:ascii="宋体" w:hAnsi="宋体" w:eastAsia="楷体" w:cs="楷体"/>
          <w:b/>
          <w:color w:val="auto"/>
          <w:sz w:val="28"/>
          <w:szCs w:val="28"/>
          <w:highlight w:val="none"/>
          <w:u w:val="single"/>
          <w:lang w:bidi="ar"/>
        </w:rPr>
        <w:t xml:space="preserve">   </w:t>
      </w:r>
      <w:r>
        <w:rPr>
          <w:rFonts w:ascii="宋体" w:hAnsi="宋体" w:eastAsia="楷体" w:cs="楷体"/>
          <w:b/>
          <w:color w:val="auto"/>
          <w:sz w:val="28"/>
          <w:szCs w:val="28"/>
          <w:highlight w:val="none"/>
          <w:lang w:bidi="ar"/>
        </w:rPr>
        <w:t xml:space="preserve">  </w:t>
      </w:r>
      <w:r>
        <w:rPr>
          <w:rFonts w:hint="eastAsia" w:ascii="宋体" w:hAnsi="宋体" w:cs="宋体"/>
          <w:b/>
          <w:color w:val="auto"/>
          <w:sz w:val="28"/>
          <w:szCs w:val="28"/>
          <w:highlight w:val="none"/>
          <w:lang w:bidi="ar"/>
        </w:rPr>
        <w:t xml:space="preserve">    </w:t>
      </w:r>
      <w:r>
        <w:rPr>
          <w:rFonts w:ascii="宋体" w:hAnsi="宋体" w:eastAsia="楷体" w:cs="楷体"/>
          <w:b/>
          <w:color w:val="auto"/>
          <w:sz w:val="28"/>
          <w:szCs w:val="28"/>
          <w:highlight w:val="none"/>
          <w:lang w:bidi="ar"/>
        </w:rPr>
        <w:t xml:space="preserve">   </w:t>
      </w:r>
      <w:r>
        <w:rPr>
          <w:rFonts w:ascii="宋体" w:hAnsi="宋体" w:eastAsia="楷体" w:cs="楷体"/>
          <w:color w:val="auto"/>
          <w:sz w:val="28"/>
          <w:szCs w:val="28"/>
          <w:highlight w:val="none"/>
          <w:lang w:bidi="ar"/>
        </w:rPr>
        <w:t xml:space="preserve"> </w:t>
      </w:r>
    </w:p>
    <w:p>
      <w:pPr>
        <w:spacing w:line="500" w:lineRule="exact"/>
        <w:rPr>
          <w:rFonts w:ascii="宋体" w:hAnsi="宋体" w:eastAsia="楷体" w:cs="宋体"/>
          <w:color w:val="auto"/>
          <w:highlight w:val="none"/>
          <w:u w:val="single"/>
        </w:rPr>
      </w:pPr>
      <w:r>
        <w:rPr>
          <w:rFonts w:ascii="楷体" w:hAnsi="楷体" w:eastAsia="楷体" w:cs="楷体"/>
          <w:color w:val="auto"/>
          <w:highlight w:val="none"/>
          <w:lang w:bidi="ar"/>
        </w:rPr>
        <w:t>地</w:t>
      </w:r>
      <w:r>
        <w:rPr>
          <w:rFonts w:ascii="宋体" w:hAnsi="宋体" w:eastAsia="楷体" w:cs="宋体"/>
          <w:color w:val="auto"/>
          <w:highlight w:val="none"/>
          <w:lang w:bidi="ar"/>
        </w:rPr>
        <w:t xml:space="preserve">    </w:t>
      </w:r>
      <w:r>
        <w:rPr>
          <w:rFonts w:ascii="楷体" w:hAnsi="楷体" w:eastAsia="楷体" w:cs="楷体"/>
          <w:color w:val="auto"/>
          <w:highlight w:val="none"/>
          <w:lang w:bidi="ar"/>
        </w:rPr>
        <w:t>址：</w:t>
      </w:r>
      <w:r>
        <w:rPr>
          <w:rFonts w:ascii="宋体" w:hAnsi="宋体" w:eastAsia="楷体" w:cs="楷体"/>
          <w:color w:val="auto"/>
          <w:highlight w:val="none"/>
          <w:u w:val="single"/>
          <w:shd w:val="clear" w:color="auto" w:fill="FFFFFF"/>
          <w:lang w:bidi="ar"/>
        </w:rPr>
        <w:t xml:space="preserve">    </w:t>
      </w:r>
      <w:r>
        <w:rPr>
          <w:rFonts w:ascii="宋体" w:hAnsi="宋体" w:eastAsia="楷体" w:cs="楷体"/>
          <w:b/>
          <w:color w:val="auto"/>
          <w:highlight w:val="none"/>
          <w:u w:val="single"/>
          <w:lang w:bidi="ar"/>
        </w:rPr>
        <w:t xml:space="preserve"> </w:t>
      </w:r>
      <w:r>
        <w:rPr>
          <w:rFonts w:ascii="宋体" w:hAnsi="宋体" w:eastAsia="楷体" w:cs="楷体"/>
          <w:b/>
          <w:color w:val="auto"/>
          <w:sz w:val="28"/>
          <w:szCs w:val="28"/>
          <w:highlight w:val="none"/>
          <w:u w:val="single"/>
          <w:lang w:bidi="ar"/>
        </w:rPr>
        <w:t xml:space="preserve">                    </w:t>
      </w:r>
      <w:r>
        <w:rPr>
          <w:rFonts w:hint="eastAsia" w:ascii="宋体" w:hAnsi="宋体" w:cs="宋体"/>
          <w:b/>
          <w:color w:val="auto"/>
          <w:sz w:val="28"/>
          <w:szCs w:val="28"/>
          <w:highlight w:val="none"/>
          <w:u w:val="single"/>
          <w:lang w:bidi="ar"/>
        </w:rPr>
        <w:t xml:space="preserve">    </w:t>
      </w:r>
      <w:r>
        <w:rPr>
          <w:rFonts w:ascii="宋体" w:hAnsi="宋体" w:eastAsia="楷体" w:cs="楷体"/>
          <w:b/>
          <w:color w:val="auto"/>
          <w:sz w:val="28"/>
          <w:szCs w:val="28"/>
          <w:highlight w:val="none"/>
          <w:u w:val="single"/>
          <w:lang w:bidi="ar"/>
        </w:rPr>
        <w:t xml:space="preserve">   </w:t>
      </w:r>
      <w:r>
        <w:rPr>
          <w:rFonts w:ascii="宋体" w:hAnsi="宋体" w:eastAsia="楷体" w:cs="楷体"/>
          <w:color w:val="auto"/>
          <w:sz w:val="28"/>
          <w:szCs w:val="28"/>
          <w:highlight w:val="none"/>
          <w:u w:val="single"/>
          <w:lang w:bidi="ar"/>
        </w:rPr>
        <w:t xml:space="preserve"> </w:t>
      </w:r>
    </w:p>
    <w:p>
      <w:pPr>
        <w:spacing w:line="520" w:lineRule="exact"/>
        <w:rPr>
          <w:rFonts w:ascii="宋体" w:hAnsi="宋体" w:cs="宋体"/>
          <w:color w:val="auto"/>
          <w:highlight w:val="none"/>
          <w:u w:val="single"/>
        </w:rPr>
      </w:pPr>
      <w:r>
        <w:rPr>
          <w:rFonts w:ascii="楷体" w:hAnsi="楷体" w:eastAsia="楷体" w:cs="楷体"/>
          <w:color w:val="auto"/>
          <w:highlight w:val="none"/>
          <w:lang w:bidi="ar"/>
        </w:rPr>
        <w:t>姓名：</w:t>
      </w:r>
      <w:r>
        <w:rPr>
          <w:rFonts w:ascii="宋体" w:hAnsi="宋体" w:eastAsia="楷体" w:cs="宋体"/>
          <w:color w:val="auto"/>
          <w:highlight w:val="none"/>
          <w:u w:val="single"/>
          <w:lang w:bidi="ar"/>
        </w:rPr>
        <w:t xml:space="preserve">             </w:t>
      </w:r>
      <w:r>
        <w:rPr>
          <w:rFonts w:ascii="楷体" w:hAnsi="楷体" w:eastAsia="楷体" w:cs="楷体"/>
          <w:color w:val="auto"/>
          <w:highlight w:val="none"/>
          <w:lang w:bidi="ar"/>
        </w:rPr>
        <w:t>性别：</w:t>
      </w:r>
      <w:r>
        <w:rPr>
          <w:rFonts w:ascii="宋体" w:hAnsi="宋体" w:eastAsia="楷体" w:cs="宋体"/>
          <w:color w:val="auto"/>
          <w:highlight w:val="none"/>
          <w:u w:val="single"/>
          <w:lang w:bidi="ar"/>
        </w:rPr>
        <w:t xml:space="preserve">    </w:t>
      </w:r>
      <w:r>
        <w:rPr>
          <w:rFonts w:ascii="楷体" w:hAnsi="楷体" w:eastAsia="楷体" w:cs="楷体"/>
          <w:color w:val="auto"/>
          <w:highlight w:val="none"/>
          <w:lang w:bidi="ar"/>
        </w:rPr>
        <w:t>年龄：</w:t>
      </w:r>
      <w:r>
        <w:rPr>
          <w:rFonts w:ascii="宋体" w:hAnsi="宋体" w:eastAsia="楷体" w:cs="宋体"/>
          <w:color w:val="auto"/>
          <w:highlight w:val="none"/>
          <w:u w:val="single"/>
          <w:lang w:bidi="ar"/>
        </w:rPr>
        <w:t xml:space="preserve">    </w:t>
      </w:r>
      <w:r>
        <w:rPr>
          <w:rFonts w:ascii="楷体" w:hAnsi="楷体" w:eastAsia="楷体" w:cs="楷体"/>
          <w:color w:val="auto"/>
          <w:highlight w:val="none"/>
          <w:lang w:bidi="ar"/>
        </w:rPr>
        <w:t>职务：</w:t>
      </w:r>
      <w:r>
        <w:rPr>
          <w:rFonts w:ascii="宋体" w:hAnsi="宋体" w:eastAsia="楷体" w:cs="宋体"/>
          <w:color w:val="auto"/>
          <w:highlight w:val="none"/>
          <w:u w:val="single"/>
          <w:lang w:bidi="ar"/>
        </w:rPr>
        <w:t xml:space="preserve">      </w:t>
      </w:r>
    </w:p>
    <w:p>
      <w:pPr>
        <w:spacing w:line="500" w:lineRule="exact"/>
        <w:rPr>
          <w:rFonts w:ascii="宋体" w:hAnsi="宋体" w:eastAsia="楷体" w:cs="宋体"/>
          <w:color w:val="auto"/>
          <w:highlight w:val="none"/>
        </w:rPr>
      </w:pPr>
      <w:r>
        <w:rPr>
          <w:rFonts w:ascii="楷体" w:hAnsi="楷体" w:eastAsia="楷体" w:cs="楷体"/>
          <w:color w:val="auto"/>
          <w:highlight w:val="none"/>
          <w:lang w:bidi="ar"/>
        </w:rPr>
        <w:t>身份证号：</w:t>
      </w:r>
      <w:r>
        <w:rPr>
          <w:rFonts w:ascii="宋体" w:hAnsi="宋体" w:eastAsia="楷体" w:cs="楷体"/>
          <w:b/>
          <w:color w:val="auto"/>
          <w:sz w:val="28"/>
          <w:szCs w:val="28"/>
          <w:highlight w:val="none"/>
          <w:u w:val="single"/>
          <w:lang w:bidi="ar"/>
        </w:rPr>
        <w:t xml:space="preserve">     </w:t>
      </w:r>
      <w:r>
        <w:rPr>
          <w:rFonts w:hint="eastAsia" w:ascii="宋体" w:hAnsi="宋体" w:cs="宋体"/>
          <w:b/>
          <w:color w:val="auto"/>
          <w:sz w:val="28"/>
          <w:szCs w:val="28"/>
          <w:highlight w:val="none"/>
          <w:u w:val="single"/>
          <w:lang w:bidi="ar"/>
        </w:rPr>
        <w:t xml:space="preserve">   </w:t>
      </w:r>
      <w:r>
        <w:rPr>
          <w:rFonts w:ascii="宋体" w:hAnsi="宋体" w:eastAsia="楷体" w:cs="楷体"/>
          <w:b/>
          <w:color w:val="auto"/>
          <w:sz w:val="28"/>
          <w:szCs w:val="28"/>
          <w:highlight w:val="none"/>
          <w:u w:val="single"/>
          <w:lang w:bidi="ar"/>
        </w:rPr>
        <w:t xml:space="preserve">                    </w:t>
      </w:r>
      <w:r>
        <w:rPr>
          <w:rFonts w:hint="eastAsia" w:ascii="宋体" w:hAnsi="宋体" w:cs="宋体"/>
          <w:b/>
          <w:color w:val="auto"/>
          <w:sz w:val="28"/>
          <w:szCs w:val="28"/>
          <w:highlight w:val="none"/>
          <w:u w:val="single"/>
          <w:lang w:bidi="ar"/>
        </w:rPr>
        <w:t xml:space="preserve"> </w:t>
      </w:r>
      <w:r>
        <w:rPr>
          <w:rFonts w:ascii="宋体" w:hAnsi="宋体" w:eastAsia="楷体" w:cs="楷体"/>
          <w:b/>
          <w:color w:val="auto"/>
          <w:sz w:val="28"/>
          <w:szCs w:val="28"/>
          <w:highlight w:val="none"/>
          <w:u w:val="single"/>
          <w:lang w:bidi="ar"/>
        </w:rPr>
        <w:t xml:space="preserve">   </w:t>
      </w:r>
      <w:r>
        <w:rPr>
          <w:rFonts w:ascii="宋体" w:hAnsi="宋体" w:eastAsia="楷体" w:cs="楷体"/>
          <w:color w:val="auto"/>
          <w:sz w:val="28"/>
          <w:szCs w:val="28"/>
          <w:highlight w:val="none"/>
          <w:u w:val="single"/>
          <w:lang w:bidi="ar"/>
        </w:rPr>
        <w:t xml:space="preserve"> </w:t>
      </w:r>
    </w:p>
    <w:p>
      <w:pPr>
        <w:spacing w:line="500" w:lineRule="exact"/>
        <w:rPr>
          <w:rFonts w:ascii="楷体" w:hAnsi="楷体" w:eastAsia="楷体" w:cs="楷体"/>
          <w:color w:val="auto"/>
          <w:sz w:val="21"/>
          <w:szCs w:val="21"/>
          <w:highlight w:val="none"/>
          <w:u w:val="single"/>
        </w:rPr>
      </w:pPr>
      <w:r>
        <w:rPr>
          <w:rFonts w:ascii="楷体" w:hAnsi="楷体" w:eastAsia="楷体" w:cs="楷体"/>
          <w:color w:val="auto"/>
          <w:highlight w:val="none"/>
          <w:lang w:bidi="ar"/>
        </w:rPr>
        <w:t>电话：</w:t>
      </w:r>
      <w:r>
        <w:rPr>
          <w:rFonts w:ascii="宋体" w:hAnsi="宋体" w:eastAsia="楷体" w:cs="楷体"/>
          <w:b/>
          <w:color w:val="auto"/>
          <w:sz w:val="28"/>
          <w:szCs w:val="28"/>
          <w:highlight w:val="none"/>
          <w:u w:val="single"/>
          <w:lang w:bidi="ar"/>
        </w:rPr>
        <w:t xml:space="preserve">       </w:t>
      </w:r>
      <w:r>
        <w:rPr>
          <w:rFonts w:hint="eastAsia" w:ascii="宋体" w:hAnsi="宋体" w:cs="宋体"/>
          <w:b/>
          <w:color w:val="auto"/>
          <w:sz w:val="28"/>
          <w:szCs w:val="28"/>
          <w:highlight w:val="none"/>
          <w:u w:val="single"/>
          <w:lang w:bidi="ar"/>
        </w:rPr>
        <w:t xml:space="preserve">    </w:t>
      </w:r>
      <w:r>
        <w:rPr>
          <w:rFonts w:ascii="宋体" w:hAnsi="宋体" w:eastAsia="楷体" w:cs="楷体"/>
          <w:b/>
          <w:color w:val="auto"/>
          <w:sz w:val="28"/>
          <w:szCs w:val="28"/>
          <w:highlight w:val="none"/>
          <w:u w:val="single"/>
          <w:lang w:bidi="ar"/>
        </w:rPr>
        <w:t xml:space="preserve">   </w:t>
      </w:r>
      <w:r>
        <w:rPr>
          <w:rFonts w:ascii="宋体" w:hAnsi="宋体" w:eastAsia="楷体" w:cs="楷体"/>
          <w:color w:val="auto"/>
          <w:sz w:val="28"/>
          <w:szCs w:val="28"/>
          <w:highlight w:val="none"/>
          <w:u w:val="single"/>
          <w:lang w:bidi="ar"/>
        </w:rPr>
        <w:t xml:space="preserve"> </w:t>
      </w:r>
    </w:p>
    <w:p>
      <w:pPr>
        <w:spacing w:line="520" w:lineRule="exact"/>
        <w:jc w:val="left"/>
        <w:rPr>
          <w:rFonts w:ascii="宋体" w:hAnsi="宋体" w:eastAsia="楷体" w:cs="宋体"/>
          <w:color w:val="auto"/>
          <w:highlight w:val="none"/>
          <w:lang w:bidi="ar"/>
        </w:rPr>
      </w:pPr>
      <w:r>
        <w:rPr>
          <w:rFonts w:ascii="楷体" w:hAnsi="楷体" w:eastAsia="楷体" w:cs="楷体"/>
          <w:color w:val="auto"/>
          <w:highlight w:val="none"/>
          <w:lang w:bidi="ar"/>
        </w:rPr>
        <w:t>系</w:t>
      </w:r>
      <w:r>
        <w:rPr>
          <w:rFonts w:ascii="宋体" w:hAnsi="宋体" w:eastAsia="楷体" w:cs="楷体"/>
          <w:color w:val="auto"/>
          <w:sz w:val="28"/>
          <w:szCs w:val="28"/>
          <w:highlight w:val="none"/>
          <w:u w:val="single"/>
          <w:lang w:bidi="ar"/>
        </w:rPr>
        <w:t xml:space="preserve">                        </w:t>
      </w:r>
      <w:r>
        <w:rPr>
          <w:rFonts w:ascii="宋体" w:hAnsi="宋体" w:eastAsia="楷体" w:cs="宋体"/>
          <w:bCs/>
          <w:color w:val="auto"/>
          <w:highlight w:val="none"/>
          <w:u w:val="single"/>
          <w:lang w:bidi="ar"/>
        </w:rPr>
        <w:t xml:space="preserve">  </w:t>
      </w:r>
      <w:r>
        <w:rPr>
          <w:rFonts w:ascii="宋体" w:hAnsi="宋体" w:eastAsia="楷体" w:cs="宋体"/>
          <w:bCs/>
          <w:color w:val="auto"/>
          <w:highlight w:val="none"/>
          <w:lang w:bidi="ar"/>
        </w:rPr>
        <w:t xml:space="preserve">  </w:t>
      </w:r>
      <w:r>
        <w:rPr>
          <w:rFonts w:ascii="楷体" w:hAnsi="楷体" w:eastAsia="楷体" w:cs="楷体"/>
          <w:color w:val="auto"/>
          <w:highlight w:val="none"/>
          <w:lang w:bidi="ar"/>
        </w:rPr>
        <w:t>的法定代表人，特此证明。</w:t>
      </w:r>
      <w:r>
        <w:rPr>
          <w:rFonts w:ascii="宋体" w:hAnsi="宋体" w:eastAsia="楷体" w:cs="宋体"/>
          <w:color w:val="auto"/>
          <w:highlight w:val="none"/>
          <w:lang w:bidi="ar"/>
        </w:rPr>
        <w:t xml:space="preserve">  </w:t>
      </w:r>
    </w:p>
    <w:p>
      <w:pPr>
        <w:spacing w:line="520" w:lineRule="exact"/>
        <w:jc w:val="left"/>
        <w:rPr>
          <w:rFonts w:ascii="宋体" w:hAnsi="宋体" w:eastAsia="楷体" w:cs="宋体"/>
          <w:color w:val="auto"/>
          <w:highlight w:val="none"/>
          <w:lang w:bidi="ar"/>
        </w:rPr>
      </w:pPr>
    </w:p>
    <w:p>
      <w:pPr>
        <w:spacing w:line="520" w:lineRule="exact"/>
        <w:jc w:val="left"/>
        <w:rPr>
          <w:rFonts w:ascii="宋体" w:hAnsi="宋体" w:eastAsia="楷体" w:cs="宋体"/>
          <w:color w:val="auto"/>
          <w:highlight w:val="none"/>
          <w:u w:val="single"/>
        </w:rPr>
      </w:pPr>
      <w:r>
        <w:rPr>
          <w:rFonts w:ascii="宋体" w:hAnsi="宋体" w:eastAsia="楷体" w:cs="宋体"/>
          <w:bCs/>
          <w:color w:val="auto"/>
          <w:highlight w:val="none"/>
          <w:lang w:bidi="ar"/>
        </w:rPr>
        <w:t xml:space="preserve">                          </w:t>
      </w:r>
      <w:r>
        <w:rPr>
          <w:rFonts w:ascii="宋体" w:hAnsi="宋体" w:eastAsia="楷体" w:cs="宋体"/>
          <w:color w:val="auto"/>
          <w:highlight w:val="none"/>
          <w:lang w:bidi="ar"/>
        </w:rPr>
        <w:t xml:space="preserve">         </w:t>
      </w:r>
    </w:p>
    <w:p>
      <w:pPr>
        <w:spacing w:line="520" w:lineRule="exact"/>
        <w:jc w:val="center"/>
        <w:rPr>
          <w:rFonts w:ascii="宋体" w:hAnsi="宋体" w:eastAsia="楷体" w:cs="宋体"/>
          <w:color w:val="auto"/>
          <w:highlight w:val="none"/>
        </w:rPr>
      </w:pPr>
      <w:r>
        <w:rPr>
          <w:rFonts w:ascii="宋体" w:hAnsi="宋体" w:eastAsia="楷体" w:cs="宋体"/>
          <w:color w:val="auto"/>
          <w:highlight w:val="none"/>
          <w:lang w:bidi="ar"/>
        </w:rPr>
        <w:t xml:space="preserve">                                          </w:t>
      </w:r>
    </w:p>
    <w:p>
      <w:pPr>
        <w:spacing w:line="500" w:lineRule="exact"/>
        <w:jc w:val="right"/>
        <w:rPr>
          <w:rFonts w:ascii="宋体" w:hAnsi="宋体"/>
          <w:color w:val="auto"/>
          <w:highlight w:val="none"/>
        </w:rPr>
      </w:pPr>
      <w:r>
        <w:rPr>
          <w:rFonts w:ascii="宋体" w:hAnsi="宋体" w:eastAsia="楷体" w:cs="宋体"/>
          <w:color w:val="auto"/>
          <w:highlight w:val="none"/>
          <w:lang w:bidi="ar"/>
        </w:rPr>
        <w:t xml:space="preserve">                                   </w:t>
      </w:r>
      <w:r>
        <w:rPr>
          <w:rFonts w:ascii="宋体" w:hAnsi="宋体" w:eastAsia="楷体" w:cs="楷体"/>
          <w:color w:val="auto"/>
          <w:sz w:val="28"/>
          <w:szCs w:val="28"/>
          <w:highlight w:val="none"/>
          <w:lang w:bidi="ar"/>
        </w:rPr>
        <w:t xml:space="preserve"> </w:t>
      </w:r>
      <w:r>
        <w:rPr>
          <w:rFonts w:hint="eastAsia" w:ascii="宋体" w:hAnsi="宋体"/>
          <w:color w:val="auto"/>
          <w:highlight w:val="none"/>
        </w:rPr>
        <w:t>投 标 人：</w:t>
      </w:r>
      <w:r>
        <w:rPr>
          <w:rFonts w:hint="eastAsia" w:ascii="宋体" w:hAnsi="宋体"/>
          <w:color w:val="auto"/>
          <w:highlight w:val="none"/>
          <w:u w:val="single"/>
        </w:rPr>
        <w:t xml:space="preserve">             </w:t>
      </w:r>
      <w:r>
        <w:rPr>
          <w:rFonts w:hint="eastAsia" w:ascii="宋体" w:hAnsi="宋体"/>
          <w:color w:val="auto"/>
          <w:highlight w:val="none"/>
        </w:rPr>
        <w:t>(单位盖章)</w:t>
      </w:r>
    </w:p>
    <w:p>
      <w:pPr>
        <w:spacing w:line="420" w:lineRule="exact"/>
        <w:ind w:firstLine="480" w:firstLineChars="200"/>
        <w:jc w:val="right"/>
        <w:rPr>
          <w:rFonts w:ascii="宋体" w:hAnsi="宋体"/>
          <w:color w:val="auto"/>
          <w:highlight w:val="none"/>
        </w:rPr>
      </w:pPr>
      <w:r>
        <w:rPr>
          <w:rFonts w:hint="eastAsia" w:ascii="宋体" w:hAnsi="宋体"/>
          <w:color w:val="auto"/>
          <w:highlight w:val="none"/>
        </w:rPr>
        <w:t>日    期： ______年____月____日</w:t>
      </w:r>
    </w:p>
    <w:p>
      <w:pPr>
        <w:spacing w:line="500" w:lineRule="exact"/>
        <w:ind w:firstLine="840" w:firstLineChars="300"/>
        <w:rPr>
          <w:rFonts w:ascii="宋体" w:hAnsi="宋体" w:eastAsia="楷体" w:cs="楷体"/>
          <w:color w:val="auto"/>
          <w:sz w:val="28"/>
          <w:szCs w:val="28"/>
          <w:highlight w:val="none"/>
        </w:rPr>
      </w:pPr>
      <w:r>
        <w:rPr>
          <w:rFonts w:ascii="宋体" w:hAnsi="宋体" w:eastAsia="楷体" w:cs="楷体"/>
          <w:color w:val="auto"/>
          <w:sz w:val="28"/>
          <w:szCs w:val="28"/>
          <w:highlight w:val="none"/>
          <w:lang w:bidi="ar"/>
        </w:rPr>
        <w:t xml:space="preserve"> </w:t>
      </w:r>
    </w:p>
    <w:p>
      <w:pPr>
        <w:spacing w:line="500" w:lineRule="exact"/>
        <w:ind w:firstLine="840" w:firstLineChars="300"/>
        <w:rPr>
          <w:rFonts w:ascii="宋体" w:hAnsi="宋体" w:eastAsia="楷体" w:cs="楷体"/>
          <w:color w:val="auto"/>
          <w:sz w:val="28"/>
          <w:szCs w:val="28"/>
          <w:highlight w:val="none"/>
        </w:rPr>
      </w:pPr>
      <w:r>
        <w:rPr>
          <w:rFonts w:ascii="宋体" w:hAnsi="宋体" w:eastAsia="楷体" w:cs="楷体"/>
          <w:color w:val="auto"/>
          <w:sz w:val="28"/>
          <w:szCs w:val="28"/>
          <w:highlight w:val="none"/>
          <w:lang w:bidi="ar"/>
        </w:rPr>
        <w:t xml:space="preserve"> </w:t>
      </w:r>
    </w:p>
    <w:p>
      <w:pPr>
        <w:spacing w:line="500" w:lineRule="exact"/>
        <w:ind w:firstLine="840" w:firstLineChars="300"/>
        <w:rPr>
          <w:rFonts w:ascii="宋体" w:hAnsi="宋体" w:eastAsia="楷体" w:cs="楷体"/>
          <w:color w:val="auto"/>
          <w:sz w:val="28"/>
          <w:szCs w:val="28"/>
          <w:highlight w:val="none"/>
        </w:rPr>
      </w:pPr>
      <w:r>
        <w:rPr>
          <w:rFonts w:ascii="宋体" w:hAnsi="宋体" w:eastAsia="楷体" w:cs="楷体"/>
          <w:color w:val="auto"/>
          <w:sz w:val="28"/>
          <w:szCs w:val="28"/>
          <w:highlight w:val="none"/>
          <w:lang w:bidi="ar"/>
        </w:rPr>
        <w:t xml:space="preserve"> </w:t>
      </w:r>
    </w:p>
    <w:p>
      <w:pPr>
        <w:spacing w:line="500" w:lineRule="exact"/>
        <w:ind w:firstLine="840" w:firstLineChars="300"/>
        <w:rPr>
          <w:rFonts w:ascii="宋体" w:hAnsi="宋体" w:eastAsia="楷体" w:cs="楷体"/>
          <w:color w:val="auto"/>
          <w:sz w:val="28"/>
          <w:szCs w:val="28"/>
          <w:highlight w:val="none"/>
        </w:rPr>
      </w:pPr>
      <w:r>
        <w:rPr>
          <w:rFonts w:ascii="宋体" w:hAnsi="宋体" w:eastAsia="楷体" w:cs="楷体"/>
          <w:color w:val="auto"/>
          <w:sz w:val="28"/>
          <w:szCs w:val="28"/>
          <w:highlight w:val="none"/>
          <w:lang w:bidi="ar"/>
        </w:rPr>
        <w:t xml:space="preserve">  </w:t>
      </w:r>
    </w:p>
    <w:p>
      <w:pPr>
        <w:spacing w:line="500" w:lineRule="exact"/>
        <w:ind w:firstLine="840" w:firstLineChars="300"/>
        <w:rPr>
          <w:rFonts w:ascii="宋体" w:hAnsi="宋体" w:eastAsia="楷体" w:cs="楷体"/>
          <w:color w:val="auto"/>
          <w:sz w:val="28"/>
          <w:szCs w:val="28"/>
          <w:highlight w:val="none"/>
        </w:rPr>
      </w:pPr>
      <w:r>
        <w:rPr>
          <w:rFonts w:ascii="宋体" w:hAnsi="宋体" w:eastAsia="楷体" w:cs="楷体"/>
          <w:color w:val="auto"/>
          <w:sz w:val="28"/>
          <w:szCs w:val="28"/>
          <w:highlight w:val="none"/>
          <w:lang w:bidi="ar"/>
        </w:rPr>
        <w:t xml:space="preserve"> </w:t>
      </w:r>
    </w:p>
    <w:p>
      <w:pPr>
        <w:spacing w:line="500" w:lineRule="exact"/>
        <w:rPr>
          <w:rFonts w:ascii="宋体" w:hAnsi="宋体" w:eastAsia="楷体" w:cs="楷体"/>
          <w:color w:val="auto"/>
          <w:sz w:val="28"/>
          <w:szCs w:val="28"/>
          <w:highlight w:val="none"/>
        </w:rPr>
      </w:pPr>
      <w:r>
        <w:rPr>
          <w:rFonts w:ascii="宋体" w:hAnsi="宋体" w:eastAsia="楷体" w:cs="楷体"/>
          <w:color w:val="auto"/>
          <w:sz w:val="28"/>
          <w:szCs w:val="28"/>
          <w:highlight w:val="none"/>
          <w:lang w:bidi="ar"/>
        </w:rPr>
        <w:t xml:space="preserve"> </w:t>
      </w:r>
    </w:p>
    <w:p>
      <w:pPr>
        <w:spacing w:line="500" w:lineRule="exact"/>
        <w:rPr>
          <w:rFonts w:ascii="宋体" w:hAnsi="宋体" w:eastAsia="楷体" w:cs="楷体"/>
          <w:color w:val="auto"/>
          <w:sz w:val="28"/>
          <w:szCs w:val="28"/>
          <w:highlight w:val="none"/>
        </w:rPr>
      </w:pPr>
      <w:r>
        <w:rPr>
          <w:rFonts w:ascii="宋体" w:hAnsi="宋体" w:eastAsia="楷体" w:cs="楷体"/>
          <w:color w:val="auto"/>
          <w:sz w:val="28"/>
          <w:szCs w:val="28"/>
          <w:highlight w:val="none"/>
          <w:lang w:bidi="ar"/>
        </w:rPr>
        <w:t xml:space="preserve"> </w:t>
      </w:r>
    </w:p>
    <w:p>
      <w:pPr>
        <w:spacing w:line="500" w:lineRule="exact"/>
        <w:rPr>
          <w:rFonts w:ascii="楷体" w:hAnsi="楷体" w:eastAsia="楷体" w:cs="楷体"/>
          <w:color w:val="auto"/>
          <w:highlight w:val="none"/>
        </w:rPr>
      </w:pPr>
      <w:r>
        <w:rPr>
          <w:rFonts w:ascii="楷体" w:hAnsi="楷体" w:eastAsia="楷体" w:cs="楷体"/>
          <w:color w:val="auto"/>
          <w:highlight w:val="none"/>
          <w:lang w:bidi="ar"/>
        </w:rPr>
        <w:t xml:space="preserve"> </w:t>
      </w:r>
    </w:p>
    <w:p>
      <w:pPr>
        <w:spacing w:line="500" w:lineRule="exact"/>
        <w:rPr>
          <w:rFonts w:ascii="楷体" w:hAnsi="楷体" w:eastAsia="楷体" w:cs="楷体"/>
          <w:color w:val="auto"/>
          <w:highlight w:val="none"/>
        </w:rPr>
      </w:pPr>
      <w:r>
        <w:rPr>
          <w:rFonts w:ascii="楷体" w:hAnsi="楷体" w:eastAsia="楷体" w:cs="楷体"/>
          <w:color w:val="auto"/>
          <w:highlight w:val="none"/>
          <w:lang w:bidi="ar"/>
        </w:rPr>
        <w:t>说明：1、法定代表人为企业事业单位、国家机关、社会团体的主要行政负责人。</w:t>
      </w:r>
    </w:p>
    <w:p>
      <w:pPr>
        <w:spacing w:line="500" w:lineRule="exact"/>
        <w:ind w:firstLine="720" w:firstLineChars="300"/>
        <w:rPr>
          <w:rFonts w:ascii="楷体" w:hAnsi="楷体" w:eastAsia="楷体" w:cs="楷体"/>
          <w:color w:val="auto"/>
          <w:highlight w:val="none"/>
        </w:rPr>
      </w:pPr>
      <w:r>
        <w:rPr>
          <w:rFonts w:ascii="楷体" w:hAnsi="楷体" w:eastAsia="楷体" w:cs="楷体"/>
          <w:color w:val="auto"/>
          <w:highlight w:val="none"/>
          <w:lang w:bidi="ar"/>
        </w:rPr>
        <w:t>2、内容必须填写真实、清楚，涂改无效，不得转让、买卖。</w:t>
      </w:r>
    </w:p>
    <w:p>
      <w:pPr>
        <w:spacing w:line="500" w:lineRule="exact"/>
        <w:ind w:firstLine="720" w:firstLineChars="300"/>
        <w:rPr>
          <w:rFonts w:ascii="楷体" w:hAnsi="楷体" w:eastAsia="楷体" w:cs="楷体"/>
          <w:color w:val="auto"/>
          <w:highlight w:val="none"/>
        </w:rPr>
      </w:pPr>
      <w:r>
        <w:rPr>
          <w:rFonts w:ascii="楷体" w:hAnsi="楷体" w:eastAsia="楷体" w:cs="楷体"/>
          <w:color w:val="auto"/>
          <w:highlight w:val="none"/>
          <w:lang w:bidi="ar"/>
        </w:rPr>
        <w:t>3、提供授权人加盖公章的身份证复印件。</w:t>
      </w:r>
    </w:p>
    <w:p>
      <w:pPr>
        <w:rPr>
          <w:color w:val="auto"/>
          <w:highlight w:val="none"/>
        </w:rPr>
      </w:pPr>
    </w:p>
    <w:p>
      <w:pPr>
        <w:rPr>
          <w:color w:val="auto"/>
          <w:highlight w:val="none"/>
        </w:rPr>
      </w:pPr>
      <w:bookmarkStart w:id="526" w:name="_Toc3355"/>
      <w:bookmarkStart w:id="527" w:name="_Toc135743376"/>
      <w:bookmarkStart w:id="528" w:name="_Toc29090"/>
      <w:r>
        <w:rPr>
          <w:rFonts w:hint="eastAsia"/>
          <w:color w:val="auto"/>
          <w:highlight w:val="none"/>
        </w:rPr>
        <w:br w:type="page"/>
      </w:r>
    </w:p>
    <w:p>
      <w:pPr>
        <w:pStyle w:val="2"/>
        <w:rPr>
          <w:rFonts w:ascii="宋体" w:hAnsi="宋体"/>
          <w:color w:val="auto"/>
          <w:highlight w:val="none"/>
        </w:rPr>
      </w:pPr>
      <w:bookmarkStart w:id="529" w:name="_Toc31987"/>
      <w:bookmarkStart w:id="530" w:name="_Toc32009"/>
      <w:bookmarkStart w:id="531" w:name="_Toc19174"/>
      <w:bookmarkStart w:id="532" w:name="_Toc10886"/>
      <w:bookmarkStart w:id="533" w:name="_Toc16220"/>
      <w:bookmarkStart w:id="534" w:name="_Toc22509"/>
      <w:bookmarkStart w:id="535" w:name="_Toc10178"/>
      <w:bookmarkStart w:id="536" w:name="_Toc6984"/>
      <w:r>
        <w:rPr>
          <w:rFonts w:hint="eastAsia"/>
          <w:color w:val="auto"/>
          <w:highlight w:val="none"/>
        </w:rPr>
        <w:t>附件4</w:t>
      </w:r>
      <w:bookmarkEnd w:id="526"/>
      <w:bookmarkEnd w:id="527"/>
      <w:bookmarkEnd w:id="528"/>
      <w:bookmarkEnd w:id="529"/>
      <w:bookmarkEnd w:id="530"/>
      <w:bookmarkEnd w:id="531"/>
      <w:bookmarkEnd w:id="532"/>
      <w:bookmarkEnd w:id="533"/>
      <w:bookmarkEnd w:id="534"/>
      <w:bookmarkEnd w:id="535"/>
      <w:bookmarkEnd w:id="536"/>
    </w:p>
    <w:p>
      <w:pPr>
        <w:rPr>
          <w:rFonts w:ascii="宋体" w:hAnsi="宋体"/>
          <w:color w:val="auto"/>
          <w:sz w:val="28"/>
          <w:highlight w:val="none"/>
        </w:rPr>
      </w:pPr>
    </w:p>
    <w:p>
      <w:pPr>
        <w:jc w:val="center"/>
        <w:rPr>
          <w:rFonts w:asciiTheme="minorEastAsia" w:hAnsiTheme="minorEastAsia" w:eastAsiaTheme="minorEastAsia"/>
          <w:b/>
          <w:bCs/>
          <w:color w:val="auto"/>
          <w:sz w:val="32"/>
          <w:szCs w:val="32"/>
          <w:highlight w:val="none"/>
        </w:rPr>
      </w:pPr>
      <w:r>
        <w:rPr>
          <w:rFonts w:hint="eastAsia" w:asciiTheme="minorEastAsia" w:hAnsiTheme="minorEastAsia" w:eastAsiaTheme="minorEastAsia"/>
          <w:b/>
          <w:bCs/>
          <w:color w:val="auto"/>
          <w:sz w:val="32"/>
          <w:szCs w:val="32"/>
          <w:highlight w:val="none"/>
        </w:rPr>
        <w:t>投标文件签署授权委托书</w:t>
      </w:r>
    </w:p>
    <w:p>
      <w:pPr>
        <w:ind w:firstLine="480" w:firstLineChars="200"/>
        <w:rPr>
          <w:rFonts w:asciiTheme="minorEastAsia" w:hAnsiTheme="minorEastAsia" w:eastAsiaTheme="minorEastAsia"/>
          <w:color w:val="auto"/>
          <w:highlight w:val="none"/>
        </w:rPr>
      </w:pP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本授权委托书声明：我 </w:t>
      </w:r>
      <w:r>
        <w:rPr>
          <w:rFonts w:hint="eastAsia" w:asciiTheme="minorEastAsia" w:hAnsiTheme="minorEastAsia" w:eastAsiaTheme="minorEastAsia"/>
          <w:color w:val="auto"/>
          <w:highlight w:val="none"/>
          <w:u w:val="single"/>
        </w:rPr>
        <w:t xml:space="preserve">      （姓名）</w:t>
      </w:r>
      <w:r>
        <w:rPr>
          <w:rFonts w:hint="eastAsia" w:asciiTheme="minorEastAsia" w:hAnsiTheme="minorEastAsia" w:eastAsiaTheme="minorEastAsia"/>
          <w:color w:val="auto"/>
          <w:highlight w:val="none"/>
        </w:rPr>
        <w:t xml:space="preserve">系 </w:t>
      </w:r>
      <w:r>
        <w:rPr>
          <w:rFonts w:hint="eastAsia" w:asciiTheme="minorEastAsia" w:hAnsiTheme="minorEastAsia" w:eastAsiaTheme="minorEastAsia"/>
          <w:color w:val="auto"/>
          <w:highlight w:val="none"/>
          <w:u w:val="single"/>
        </w:rPr>
        <w:t xml:space="preserve">              （投标人名称）</w:t>
      </w:r>
      <w:r>
        <w:rPr>
          <w:rFonts w:hint="eastAsia" w:asciiTheme="minorEastAsia" w:hAnsiTheme="minorEastAsia" w:eastAsiaTheme="minorEastAsia"/>
          <w:color w:val="auto"/>
          <w:highlight w:val="none"/>
        </w:rPr>
        <w:t xml:space="preserve"> 的法定代表人，现授权我公司 </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的</w:t>
      </w:r>
      <w:r>
        <w:rPr>
          <w:rFonts w:hint="eastAsia" w:asciiTheme="minorEastAsia" w:hAnsiTheme="minorEastAsia" w:eastAsiaTheme="minorEastAsia"/>
          <w:color w:val="auto"/>
          <w:highlight w:val="none"/>
          <w:u w:val="single"/>
        </w:rPr>
        <w:t xml:space="preserve">    （姓名）</w:t>
      </w:r>
      <w:r>
        <w:rPr>
          <w:rFonts w:hint="eastAsia" w:asciiTheme="minorEastAsia" w:hAnsiTheme="minorEastAsia" w:eastAsiaTheme="minorEastAsia"/>
          <w:color w:val="auto"/>
          <w:highlight w:val="none"/>
        </w:rPr>
        <w:t>为我公司签署信用大厦室内外LED显示屏采购及安装的投标文件的法定代表人授权委托代理人，我承认代理人全权代表我所签署的本材料采购的投标文件的内容。</w:t>
      </w:r>
    </w:p>
    <w:p>
      <w:pPr>
        <w:ind w:firstLine="480" w:firstLineChars="200"/>
        <w:rPr>
          <w:rFonts w:asciiTheme="minorEastAsia" w:hAnsiTheme="minorEastAsia" w:eastAsiaTheme="minorEastAsia"/>
          <w:color w:val="auto"/>
          <w:highlight w:val="none"/>
        </w:rPr>
      </w:pP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代理人无转委托权，特此委托。</w:t>
      </w:r>
    </w:p>
    <w:p>
      <w:pPr>
        <w:ind w:firstLine="480" w:firstLineChars="200"/>
        <w:rPr>
          <w:rFonts w:asciiTheme="minorEastAsia" w:hAnsiTheme="minorEastAsia" w:eastAsiaTheme="minorEastAsia"/>
          <w:color w:val="auto"/>
          <w:highlight w:val="none"/>
        </w:rPr>
      </w:pPr>
    </w:p>
    <w:p>
      <w:pPr>
        <w:ind w:firstLine="480" w:firstLineChars="200"/>
        <w:rPr>
          <w:rFonts w:asciiTheme="minorEastAsia" w:hAnsiTheme="minorEastAsia" w:eastAsiaTheme="minorEastAsia"/>
          <w:color w:val="auto"/>
          <w:highlight w:val="none"/>
        </w:rPr>
      </w:pPr>
    </w:p>
    <w:p>
      <w:pPr>
        <w:ind w:firstLine="480" w:firstLineChars="200"/>
        <w:rPr>
          <w:rFonts w:asciiTheme="minorEastAsia" w:hAnsiTheme="minorEastAsia" w:eastAsiaTheme="minorEastAsia"/>
          <w:color w:val="auto"/>
          <w:highlight w:val="none"/>
        </w:rPr>
      </w:pPr>
    </w:p>
    <w:p>
      <w:pPr>
        <w:ind w:firstLine="480" w:firstLineChars="200"/>
        <w:rPr>
          <w:rFonts w:asciiTheme="minorEastAsia" w:hAnsiTheme="minorEastAsia" w:eastAsiaTheme="minorEastAsia"/>
          <w:color w:val="auto"/>
          <w:highlight w:val="none"/>
        </w:rPr>
      </w:pPr>
    </w:p>
    <w:p>
      <w:pPr>
        <w:ind w:firstLine="480" w:firstLineChars="200"/>
        <w:rPr>
          <w:rFonts w:asciiTheme="minorEastAsia" w:hAnsiTheme="minorEastAsia" w:eastAsiaTheme="minorEastAsia"/>
          <w:color w:val="auto"/>
          <w:highlight w:val="none"/>
        </w:rPr>
      </w:pP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代  理  人：</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性别：</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年龄：</w:t>
      </w:r>
      <w:r>
        <w:rPr>
          <w:rFonts w:hint="eastAsia" w:asciiTheme="minorEastAsia" w:hAnsiTheme="minorEastAsia" w:eastAsiaTheme="minorEastAsia"/>
          <w:color w:val="auto"/>
          <w:highlight w:val="none"/>
          <w:u w:val="single"/>
        </w:rPr>
        <w:t xml:space="preserve">     </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身份证号码：___________________     职务：____________</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投  标  人：</w:t>
      </w:r>
      <w:r>
        <w:rPr>
          <w:rFonts w:hint="eastAsia" w:asciiTheme="minorEastAsia" w:hAnsiTheme="minorEastAsia" w:eastAsiaTheme="minorEastAsia"/>
          <w:color w:val="auto"/>
          <w:highlight w:val="none"/>
          <w:u w:val="single"/>
        </w:rPr>
        <w:t xml:space="preserve">                  (盖章) </w:t>
      </w:r>
      <w:r>
        <w:rPr>
          <w:rFonts w:hint="eastAsia" w:asciiTheme="minorEastAsia" w:hAnsiTheme="minorEastAsia" w:eastAsiaTheme="minorEastAsia"/>
          <w:color w:val="auto"/>
          <w:highlight w:val="none"/>
        </w:rPr>
        <w:t xml:space="preserve">   </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w:t>
      </w:r>
      <w:r>
        <w:rPr>
          <w:rFonts w:hint="eastAsia" w:asciiTheme="minorEastAsia" w:hAnsiTheme="minorEastAsia" w:eastAsiaTheme="minorEastAsia"/>
          <w:color w:val="auto"/>
          <w:highlight w:val="none"/>
          <w:u w:val="single"/>
        </w:rPr>
        <w:t xml:space="preserve">           （签字或盖章）</w:t>
      </w:r>
      <w:r>
        <w:rPr>
          <w:rFonts w:hint="eastAsia" w:asciiTheme="minorEastAsia" w:hAnsiTheme="minorEastAsia" w:eastAsiaTheme="minorEastAsia"/>
          <w:color w:val="auto"/>
          <w:highlight w:val="none"/>
        </w:rPr>
        <w:t xml:space="preserve">  </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授权委托日期：</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年____月___日</w:t>
      </w:r>
    </w:p>
    <w:p>
      <w:pPr>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联系电话：</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 xml:space="preserve">     </w:t>
      </w:r>
    </w:p>
    <w:p>
      <w:pPr>
        <w:ind w:firstLine="560" w:firstLineChars="200"/>
        <w:rPr>
          <w:rFonts w:ascii="宋体" w:hAnsi="宋体"/>
          <w:color w:val="auto"/>
          <w:sz w:val="28"/>
          <w:highlight w:val="none"/>
        </w:rPr>
      </w:pPr>
    </w:p>
    <w:p>
      <w:pPr>
        <w:ind w:firstLine="560" w:firstLineChars="200"/>
        <w:rPr>
          <w:rFonts w:ascii="宋体" w:hAnsi="宋体"/>
          <w:color w:val="auto"/>
          <w:sz w:val="28"/>
          <w:highlight w:val="none"/>
        </w:rPr>
      </w:pPr>
    </w:p>
    <w:p>
      <w:pPr>
        <w:spacing w:line="400" w:lineRule="exact"/>
        <w:rPr>
          <w:rFonts w:ascii="宋体" w:hAnsi="宋体"/>
          <w:b/>
          <w:bCs/>
          <w:color w:val="auto"/>
          <w:sz w:val="30"/>
          <w:highlight w:val="none"/>
        </w:rPr>
      </w:pPr>
    </w:p>
    <w:p>
      <w:pPr>
        <w:rPr>
          <w:color w:val="auto"/>
          <w:highlight w:val="none"/>
        </w:rPr>
      </w:pPr>
      <w:bookmarkStart w:id="537" w:name="_Toc11108"/>
      <w:bookmarkStart w:id="538" w:name="_Toc135743377"/>
      <w:bookmarkStart w:id="539" w:name="_Toc4217"/>
      <w:r>
        <w:rPr>
          <w:rFonts w:hint="eastAsia"/>
          <w:color w:val="auto"/>
          <w:highlight w:val="none"/>
        </w:rPr>
        <w:br w:type="page"/>
      </w:r>
    </w:p>
    <w:p>
      <w:pPr>
        <w:pStyle w:val="2"/>
        <w:rPr>
          <w:color w:val="auto"/>
          <w:highlight w:val="none"/>
        </w:rPr>
      </w:pPr>
      <w:bookmarkStart w:id="540" w:name="_Toc9672"/>
      <w:bookmarkStart w:id="541" w:name="_Toc9078"/>
      <w:bookmarkStart w:id="542" w:name="_Toc11941"/>
      <w:bookmarkStart w:id="543" w:name="_Toc31034"/>
      <w:bookmarkStart w:id="544" w:name="_Toc28493"/>
      <w:bookmarkStart w:id="545" w:name="_Toc2247"/>
      <w:bookmarkStart w:id="546" w:name="_Toc15820"/>
      <w:bookmarkStart w:id="547" w:name="_Toc17463"/>
      <w:r>
        <w:rPr>
          <w:rFonts w:hint="eastAsia"/>
          <w:color w:val="auto"/>
          <w:highlight w:val="none"/>
        </w:rPr>
        <w:t>附件5</w:t>
      </w:r>
      <w:bookmarkEnd w:id="537"/>
      <w:bookmarkEnd w:id="538"/>
      <w:bookmarkEnd w:id="539"/>
      <w:bookmarkEnd w:id="540"/>
      <w:bookmarkEnd w:id="541"/>
      <w:bookmarkEnd w:id="542"/>
      <w:bookmarkEnd w:id="543"/>
      <w:bookmarkEnd w:id="544"/>
      <w:bookmarkEnd w:id="545"/>
      <w:bookmarkEnd w:id="546"/>
      <w:bookmarkEnd w:id="547"/>
    </w:p>
    <w:p>
      <w:pPr>
        <w:jc w:val="center"/>
        <w:rPr>
          <w:rFonts w:asciiTheme="minorEastAsia" w:hAnsiTheme="minorEastAsia" w:eastAsiaTheme="minorEastAsia"/>
          <w:b/>
          <w:color w:val="auto"/>
          <w:sz w:val="32"/>
          <w:szCs w:val="32"/>
          <w:highlight w:val="none"/>
        </w:rPr>
      </w:pPr>
      <w:r>
        <w:rPr>
          <w:rFonts w:hint="eastAsia" w:asciiTheme="minorEastAsia" w:hAnsiTheme="minorEastAsia" w:eastAsiaTheme="minorEastAsia"/>
          <w:b/>
          <w:color w:val="auto"/>
          <w:sz w:val="32"/>
          <w:szCs w:val="32"/>
          <w:highlight w:val="none"/>
        </w:rPr>
        <w:t>服  务  承  诺</w:t>
      </w:r>
    </w:p>
    <w:p>
      <w:pPr>
        <w:jc w:val="center"/>
        <w:rPr>
          <w:rFonts w:asciiTheme="minorEastAsia" w:hAnsiTheme="minorEastAsia" w:eastAsiaTheme="minorEastAsia"/>
          <w:b/>
          <w:color w:val="auto"/>
          <w:sz w:val="32"/>
          <w:szCs w:val="32"/>
          <w:highlight w:val="none"/>
        </w:rPr>
      </w:pPr>
    </w:p>
    <w:p>
      <w:pPr>
        <w:spacing w:line="50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如我方中标，郑重承诺如下：</w:t>
      </w:r>
    </w:p>
    <w:p>
      <w:pPr>
        <w:spacing w:line="500" w:lineRule="exact"/>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（1）按照招标人要求，在招标文件规定的期限内将中标的设备送达招标人指定地点，并安装调试完毕。</w:t>
      </w:r>
    </w:p>
    <w:p>
      <w:pPr>
        <w:spacing w:line="500" w:lineRule="exact"/>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（2）所有设备在保修期内负责提供免费保修服务，并定期上门维护；保修期满后，我方提供终身技术服务。</w:t>
      </w:r>
    </w:p>
    <w:p>
      <w:pPr>
        <w:spacing w:line="500" w:lineRule="exact"/>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（3）免费进行控制软件升级及软件培训。</w:t>
      </w:r>
    </w:p>
    <w:p>
      <w:pPr>
        <w:spacing w:line="500" w:lineRule="exact"/>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（4）售后服务的响应时间为</w:t>
      </w:r>
      <w:r>
        <w:rPr>
          <w:rFonts w:hint="eastAsia" w:asciiTheme="minorEastAsia" w:hAnsiTheme="minorEastAsia" w:eastAsiaTheme="minorEastAsia"/>
          <w:color w:val="auto"/>
          <w:highlight w:val="none"/>
          <w:u w:val="single"/>
        </w:rPr>
        <w:t xml:space="preserve"> 24 </w:t>
      </w:r>
      <w:r>
        <w:rPr>
          <w:rFonts w:hint="eastAsia" w:asciiTheme="minorEastAsia" w:hAnsiTheme="minorEastAsia" w:eastAsiaTheme="minorEastAsia"/>
          <w:color w:val="auto"/>
          <w:highlight w:val="none"/>
        </w:rPr>
        <w:t>小时。</w:t>
      </w:r>
    </w:p>
    <w:p>
      <w:pPr>
        <w:spacing w:line="500" w:lineRule="exact"/>
        <w:ind w:firstLine="48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（5）保修期内，提供的设备出现故障或采购人提出服务要求时，我方在投标书承诺的售后服务响应时间或更短的时间内到场服务，</w:t>
      </w:r>
    </w:p>
    <w:p>
      <w:pPr>
        <w:spacing w:line="500" w:lineRule="exac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（6）在保修范围和期限内，如需要更换零部件，我方在一周内完成，并保证所供零部件的性能和作用不低于原配置。</w:t>
      </w:r>
    </w:p>
    <w:p>
      <w:pPr>
        <w:spacing w:line="500" w:lineRule="exact"/>
        <w:ind w:firstLine="5040" w:firstLineChars="21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          </w:t>
      </w:r>
    </w:p>
    <w:p>
      <w:pPr>
        <w:spacing w:line="500" w:lineRule="exact"/>
        <w:ind w:firstLine="5040" w:firstLineChars="2100"/>
        <w:rPr>
          <w:rFonts w:asciiTheme="minorEastAsia" w:hAnsiTheme="minorEastAsia" w:eastAsiaTheme="minorEastAsia"/>
          <w:color w:val="auto"/>
          <w:highlight w:val="none"/>
        </w:rPr>
      </w:pPr>
    </w:p>
    <w:p>
      <w:pPr>
        <w:spacing w:line="500" w:lineRule="exact"/>
        <w:ind w:firstLine="3420" w:firstLineChars="1425"/>
        <w:rPr>
          <w:rFonts w:asciiTheme="minorEastAsia" w:hAnsiTheme="minorEastAsia" w:eastAsiaTheme="minorEastAsia"/>
          <w:color w:val="auto"/>
          <w:highlight w:val="none"/>
        </w:rPr>
      </w:pPr>
    </w:p>
    <w:p>
      <w:pPr>
        <w:spacing w:line="500" w:lineRule="exact"/>
        <w:ind w:firstLine="3420" w:firstLineChars="142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投标人：</w:t>
      </w:r>
      <w:r>
        <w:rPr>
          <w:rFonts w:hint="eastAsia" w:asciiTheme="minorEastAsia" w:hAnsiTheme="minorEastAsia" w:eastAsiaTheme="minorEastAsia"/>
          <w:color w:val="auto"/>
          <w:highlight w:val="none"/>
          <w:u w:val="single"/>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rPr>
        <w:t xml:space="preserve">（盖章）   </w:t>
      </w:r>
    </w:p>
    <w:p>
      <w:pPr>
        <w:spacing w:line="500" w:lineRule="exact"/>
        <w:ind w:firstLine="3420" w:firstLineChars="1425"/>
        <w:rPr>
          <w:rFonts w:asciiTheme="minorEastAsia" w:hAnsiTheme="minorEastAsia" w:eastAsiaTheme="minorEastAsia"/>
          <w:color w:val="auto"/>
          <w:highlight w:val="none"/>
        </w:rPr>
      </w:pPr>
    </w:p>
    <w:p>
      <w:pPr>
        <w:spacing w:line="500" w:lineRule="exact"/>
        <w:rPr>
          <w:rFonts w:asciiTheme="minorEastAsia" w:hAnsiTheme="minorEastAsia" w:eastAsiaTheme="minorEastAsia"/>
          <w:color w:val="auto"/>
          <w:highlight w:val="none"/>
          <w:u w:val="single"/>
        </w:rPr>
      </w:pP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法定代表人或其委托代理人：</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rPr>
        <w:t>签字或盖章）</w:t>
      </w:r>
    </w:p>
    <w:p>
      <w:pPr>
        <w:spacing w:line="500" w:lineRule="exact"/>
        <w:ind w:firstLine="5040" w:firstLineChars="2100"/>
        <w:rPr>
          <w:rFonts w:asciiTheme="minorEastAsia" w:hAnsiTheme="minorEastAsia" w:eastAsiaTheme="minorEastAsia"/>
          <w:color w:val="auto"/>
          <w:highlight w:val="none"/>
        </w:rPr>
      </w:pPr>
    </w:p>
    <w:p>
      <w:pPr>
        <w:wordWrap w:val="0"/>
        <w:spacing w:line="500" w:lineRule="exact"/>
        <w:jc w:val="right"/>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年     月     日</w:t>
      </w:r>
    </w:p>
    <w:p>
      <w:pPr>
        <w:rPr>
          <w:color w:val="auto"/>
          <w:highlight w:val="none"/>
        </w:rPr>
      </w:pPr>
      <w:bookmarkStart w:id="548" w:name="_Toc4060"/>
      <w:bookmarkStart w:id="549" w:name="_Toc135743378"/>
      <w:bookmarkStart w:id="550" w:name="_Toc9306"/>
      <w:r>
        <w:rPr>
          <w:rFonts w:hint="eastAsia"/>
          <w:color w:val="auto"/>
          <w:highlight w:val="none"/>
        </w:rPr>
        <w:br w:type="page"/>
      </w:r>
    </w:p>
    <w:p>
      <w:pPr>
        <w:pStyle w:val="2"/>
        <w:rPr>
          <w:rFonts w:ascii="宋体" w:hAnsi="宋体"/>
          <w:color w:val="auto"/>
          <w:highlight w:val="none"/>
        </w:rPr>
      </w:pPr>
      <w:bookmarkStart w:id="551" w:name="_Toc12780"/>
      <w:bookmarkStart w:id="552" w:name="_Toc17540"/>
      <w:bookmarkStart w:id="553" w:name="_Toc11147"/>
      <w:bookmarkStart w:id="554" w:name="_Toc11528"/>
      <w:bookmarkStart w:id="555" w:name="_Toc2713"/>
      <w:bookmarkStart w:id="556" w:name="_Toc18011"/>
      <w:bookmarkStart w:id="557" w:name="_Toc3633"/>
      <w:bookmarkStart w:id="558" w:name="_Toc4783"/>
      <w:r>
        <w:rPr>
          <w:rFonts w:hint="eastAsia"/>
          <w:color w:val="auto"/>
          <w:highlight w:val="none"/>
        </w:rPr>
        <w:t>附件6</w:t>
      </w:r>
      <w:bookmarkEnd w:id="548"/>
      <w:bookmarkEnd w:id="549"/>
      <w:bookmarkEnd w:id="550"/>
      <w:bookmarkEnd w:id="551"/>
      <w:bookmarkEnd w:id="552"/>
      <w:bookmarkEnd w:id="553"/>
      <w:bookmarkEnd w:id="554"/>
      <w:bookmarkEnd w:id="555"/>
      <w:bookmarkEnd w:id="556"/>
      <w:bookmarkEnd w:id="557"/>
      <w:bookmarkEnd w:id="558"/>
    </w:p>
    <w:p>
      <w:pPr>
        <w:jc w:val="center"/>
        <w:rPr>
          <w:rFonts w:ascii="宋体" w:hAnsi="宋体"/>
          <w:b/>
          <w:bCs/>
          <w:color w:val="auto"/>
          <w:sz w:val="30"/>
          <w:highlight w:val="none"/>
        </w:rPr>
      </w:pPr>
    </w:p>
    <w:p>
      <w:pPr>
        <w:jc w:val="center"/>
        <w:rPr>
          <w:rFonts w:ascii="宋体" w:hAnsi="宋体"/>
          <w:b/>
          <w:bCs/>
          <w:color w:val="auto"/>
          <w:sz w:val="30"/>
          <w:highlight w:val="none"/>
        </w:rPr>
      </w:pPr>
    </w:p>
    <w:p>
      <w:pPr>
        <w:jc w:val="center"/>
        <w:rPr>
          <w:rFonts w:ascii="宋体" w:hAnsi="宋体"/>
          <w:b/>
          <w:bCs/>
          <w:color w:val="auto"/>
          <w:sz w:val="30"/>
          <w:highlight w:val="none"/>
        </w:rPr>
      </w:pPr>
      <w:r>
        <w:rPr>
          <w:rFonts w:hint="eastAsia" w:ascii="宋体" w:hAnsi="宋体"/>
          <w:b/>
          <w:bCs/>
          <w:color w:val="auto"/>
          <w:sz w:val="30"/>
          <w:highlight w:val="none"/>
        </w:rPr>
        <w:t>三、制造商投标授权书</w:t>
      </w:r>
    </w:p>
    <w:p>
      <w:pPr>
        <w:ind w:firstLine="560" w:firstLineChars="200"/>
        <w:rPr>
          <w:rFonts w:ascii="宋体" w:hAnsi="宋体"/>
          <w:color w:val="auto"/>
          <w:sz w:val="28"/>
          <w:highlight w:val="none"/>
        </w:rPr>
      </w:pPr>
    </w:p>
    <w:p>
      <w:pPr>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（格式自制）</w:t>
      </w:r>
    </w:p>
    <w:p>
      <w:pPr>
        <w:spacing w:line="400" w:lineRule="exact"/>
        <w:rPr>
          <w:rFonts w:ascii="宋体" w:hAnsi="宋体"/>
          <w:color w:val="auto"/>
          <w:sz w:val="28"/>
          <w:highlight w:val="none"/>
        </w:rPr>
      </w:pPr>
    </w:p>
    <w:p>
      <w:pPr>
        <w:spacing w:line="400" w:lineRule="exact"/>
        <w:rPr>
          <w:rFonts w:ascii="宋体" w:hAnsi="宋体"/>
          <w:color w:val="auto"/>
          <w:sz w:val="28"/>
          <w:highlight w:val="none"/>
        </w:rPr>
      </w:pPr>
    </w:p>
    <w:p>
      <w:pPr>
        <w:spacing w:line="400" w:lineRule="exact"/>
        <w:rPr>
          <w:rFonts w:ascii="宋体" w:hAnsi="宋体"/>
          <w:color w:val="auto"/>
          <w:sz w:val="28"/>
          <w:highlight w:val="none"/>
        </w:rPr>
      </w:pPr>
    </w:p>
    <w:p>
      <w:pPr>
        <w:spacing w:line="400" w:lineRule="exact"/>
        <w:rPr>
          <w:rFonts w:ascii="宋体" w:hAnsi="宋体"/>
          <w:color w:val="auto"/>
          <w:sz w:val="28"/>
          <w:highlight w:val="none"/>
        </w:rPr>
      </w:pPr>
    </w:p>
    <w:p>
      <w:pPr>
        <w:autoSpaceDE w:val="0"/>
        <w:autoSpaceDN w:val="0"/>
        <w:adjustRightInd w:val="0"/>
        <w:spacing w:line="480" w:lineRule="atLeast"/>
        <w:rPr>
          <w:rFonts w:ascii="黑体" w:eastAsia="黑体" w:cs="黑体"/>
          <w:b/>
          <w:bCs/>
          <w:color w:val="auto"/>
          <w:kern w:val="0"/>
          <w:sz w:val="32"/>
          <w:szCs w:val="32"/>
          <w:highlight w:val="none"/>
        </w:rPr>
      </w:pPr>
    </w:p>
    <w:p>
      <w:pPr>
        <w:autoSpaceDE w:val="0"/>
        <w:autoSpaceDN w:val="0"/>
        <w:adjustRightInd w:val="0"/>
        <w:spacing w:line="480" w:lineRule="atLeast"/>
        <w:rPr>
          <w:rFonts w:ascii="黑体" w:eastAsia="黑体" w:cs="黑体"/>
          <w:b/>
          <w:bCs/>
          <w:color w:val="auto"/>
          <w:kern w:val="0"/>
          <w:sz w:val="32"/>
          <w:szCs w:val="32"/>
          <w:highlight w:val="none"/>
        </w:rPr>
      </w:pPr>
    </w:p>
    <w:p>
      <w:pPr>
        <w:autoSpaceDE w:val="0"/>
        <w:autoSpaceDN w:val="0"/>
        <w:adjustRightInd w:val="0"/>
        <w:spacing w:line="480" w:lineRule="atLeast"/>
        <w:rPr>
          <w:rFonts w:ascii="黑体" w:eastAsia="黑体" w:cs="黑体"/>
          <w:b/>
          <w:bCs/>
          <w:color w:val="auto"/>
          <w:kern w:val="0"/>
          <w:sz w:val="32"/>
          <w:szCs w:val="32"/>
          <w:highlight w:val="none"/>
        </w:rPr>
      </w:pPr>
    </w:p>
    <w:p>
      <w:pPr>
        <w:autoSpaceDE w:val="0"/>
        <w:autoSpaceDN w:val="0"/>
        <w:adjustRightInd w:val="0"/>
        <w:spacing w:line="480" w:lineRule="atLeast"/>
        <w:rPr>
          <w:rFonts w:ascii="黑体" w:eastAsia="黑体" w:cs="黑体"/>
          <w:b/>
          <w:bCs/>
          <w:color w:val="auto"/>
          <w:kern w:val="0"/>
          <w:sz w:val="32"/>
          <w:szCs w:val="32"/>
          <w:highlight w:val="none"/>
        </w:rPr>
      </w:pPr>
    </w:p>
    <w:p>
      <w:pPr>
        <w:autoSpaceDE w:val="0"/>
        <w:autoSpaceDN w:val="0"/>
        <w:adjustRightInd w:val="0"/>
        <w:spacing w:line="480" w:lineRule="atLeast"/>
        <w:rPr>
          <w:rFonts w:ascii="黑体" w:eastAsia="黑体" w:cs="黑体"/>
          <w:b/>
          <w:bCs/>
          <w:color w:val="auto"/>
          <w:kern w:val="0"/>
          <w:sz w:val="32"/>
          <w:szCs w:val="32"/>
          <w:highlight w:val="none"/>
        </w:rPr>
      </w:pPr>
    </w:p>
    <w:p>
      <w:pPr>
        <w:rPr>
          <w:rFonts w:ascii="黑体" w:eastAsia="黑体" w:cs="黑体"/>
          <w:b/>
          <w:bCs/>
          <w:color w:val="auto"/>
          <w:kern w:val="0"/>
          <w:sz w:val="32"/>
          <w:szCs w:val="32"/>
          <w:highlight w:val="none"/>
        </w:rPr>
      </w:pPr>
      <w:r>
        <w:rPr>
          <w:rFonts w:ascii="黑体" w:eastAsia="黑体" w:cs="黑体"/>
          <w:b/>
          <w:bCs/>
          <w:color w:val="auto"/>
          <w:kern w:val="0"/>
          <w:sz w:val="32"/>
          <w:szCs w:val="32"/>
          <w:highlight w:val="none"/>
        </w:rPr>
        <w:br w:type="page"/>
      </w:r>
    </w:p>
    <w:p>
      <w:pPr>
        <w:pStyle w:val="2"/>
        <w:rPr>
          <w:color w:val="auto"/>
          <w:highlight w:val="none"/>
        </w:rPr>
      </w:pPr>
      <w:bookmarkStart w:id="559" w:name="_Toc22375"/>
      <w:bookmarkStart w:id="560" w:name="_Toc8186"/>
      <w:bookmarkStart w:id="561" w:name="_Toc29610"/>
      <w:bookmarkStart w:id="562" w:name="_Toc9470"/>
      <w:bookmarkStart w:id="563" w:name="_Toc17791"/>
      <w:bookmarkStart w:id="564" w:name="_Toc25202"/>
      <w:bookmarkStart w:id="565" w:name="_Toc3401"/>
      <w:bookmarkStart w:id="566" w:name="_Toc20553"/>
      <w:r>
        <w:rPr>
          <w:rFonts w:hint="eastAsia"/>
          <w:color w:val="auto"/>
          <w:highlight w:val="none"/>
        </w:rPr>
        <w:t>附件7</w:t>
      </w:r>
      <w:bookmarkEnd w:id="559"/>
      <w:bookmarkEnd w:id="560"/>
      <w:bookmarkEnd w:id="561"/>
      <w:bookmarkEnd w:id="562"/>
      <w:bookmarkEnd w:id="563"/>
      <w:bookmarkEnd w:id="564"/>
      <w:bookmarkEnd w:id="565"/>
      <w:bookmarkEnd w:id="566"/>
    </w:p>
    <w:p>
      <w:pPr>
        <w:spacing w:before="338" w:line="226" w:lineRule="auto"/>
        <w:ind w:firstLine="6256" w:firstLineChars="1700"/>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pacing w:val="4"/>
          <w:sz w:val="36"/>
          <w:szCs w:val="36"/>
          <w:highlight w:val="none"/>
        </w:rPr>
        <w:t>编</w:t>
      </w:r>
      <w:r>
        <w:rPr>
          <w:rFonts w:hint="eastAsia" w:asciiTheme="minorEastAsia" w:hAnsiTheme="minorEastAsia" w:eastAsiaTheme="minorEastAsia" w:cstheme="minorEastAsia"/>
          <w:color w:val="auto"/>
          <w:spacing w:val="2"/>
          <w:sz w:val="36"/>
          <w:szCs w:val="36"/>
          <w:highlight w:val="none"/>
        </w:rPr>
        <w:t>号：</w:t>
      </w:r>
    </w:p>
    <w:p>
      <w:pPr>
        <w:spacing w:line="244" w:lineRule="auto"/>
        <w:rPr>
          <w:rFonts w:asciiTheme="minorEastAsia" w:hAnsiTheme="minorEastAsia" w:eastAsiaTheme="minorEastAsia" w:cstheme="minorEastAsia"/>
          <w:color w:val="auto"/>
          <w:sz w:val="36"/>
          <w:szCs w:val="36"/>
          <w:highlight w:val="none"/>
        </w:rPr>
      </w:pPr>
    </w:p>
    <w:p>
      <w:pPr>
        <w:spacing w:line="244" w:lineRule="auto"/>
        <w:rPr>
          <w:rFonts w:asciiTheme="minorEastAsia" w:hAnsiTheme="minorEastAsia" w:eastAsiaTheme="minorEastAsia" w:cstheme="minorEastAsia"/>
          <w:color w:val="auto"/>
          <w:sz w:val="36"/>
          <w:szCs w:val="36"/>
          <w:highlight w:val="none"/>
        </w:rPr>
      </w:pPr>
    </w:p>
    <w:p>
      <w:pPr>
        <w:spacing w:line="244" w:lineRule="auto"/>
        <w:rPr>
          <w:rFonts w:asciiTheme="minorEastAsia" w:hAnsiTheme="minorEastAsia" w:eastAsiaTheme="minorEastAsia" w:cstheme="minorEastAsia"/>
          <w:color w:val="auto"/>
          <w:sz w:val="36"/>
          <w:szCs w:val="36"/>
          <w:highlight w:val="none"/>
        </w:rPr>
      </w:pPr>
    </w:p>
    <w:p>
      <w:pPr>
        <w:widowControl/>
        <w:spacing w:before="360" w:beforeLines="150" w:after="120" w:afterLines="50"/>
        <w:ind w:firstLine="1424" w:firstLineChars="400"/>
        <w:rPr>
          <w:rFonts w:asciiTheme="minorEastAsia" w:hAnsiTheme="minorEastAsia" w:eastAsiaTheme="minorEastAsia" w:cstheme="minorEastAsia"/>
          <w:color w:val="auto"/>
          <w:spacing w:val="-2"/>
          <w:sz w:val="36"/>
          <w:szCs w:val="36"/>
          <w:highlight w:val="none"/>
        </w:rPr>
      </w:pPr>
      <w:r>
        <w:rPr>
          <w:rFonts w:hint="eastAsia" w:asciiTheme="minorEastAsia" w:hAnsiTheme="minorEastAsia" w:eastAsiaTheme="minorEastAsia" w:cstheme="minorEastAsia"/>
          <w:color w:val="auto"/>
          <w:spacing w:val="-2"/>
          <w:sz w:val="36"/>
          <w:szCs w:val="36"/>
          <w:highlight w:val="none"/>
        </w:rPr>
        <w:t>深圳大学土木与交通工程学院</w:t>
      </w:r>
    </w:p>
    <w:p>
      <w:pPr>
        <w:spacing w:before="360" w:beforeLines="150" w:after="120" w:afterLines="50"/>
        <w:ind w:firstLine="712" w:firstLineChars="200"/>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pacing w:val="-2"/>
          <w:sz w:val="36"/>
          <w:szCs w:val="36"/>
          <w:highlight w:val="none"/>
        </w:rPr>
        <w:t>室内外LED显示屏及控制系统工程合同</w:t>
      </w:r>
    </w:p>
    <w:p>
      <w:pPr>
        <w:spacing w:before="360" w:beforeLines="150" w:after="120" w:afterLines="50"/>
        <w:jc w:val="center"/>
        <w:rPr>
          <w:rFonts w:asciiTheme="minorEastAsia" w:hAnsiTheme="minorEastAsia" w:eastAsiaTheme="minorEastAsia" w:cstheme="minorEastAsia"/>
          <w:color w:val="auto"/>
          <w:spacing w:val="-2"/>
          <w:sz w:val="36"/>
          <w:szCs w:val="36"/>
          <w:highlight w:val="none"/>
        </w:rPr>
      </w:pPr>
    </w:p>
    <w:p>
      <w:pPr>
        <w:rPr>
          <w:rFonts w:asciiTheme="minorEastAsia" w:hAnsiTheme="minorEastAsia" w:eastAsiaTheme="minorEastAsia" w:cstheme="minorEastAsia"/>
          <w:color w:val="auto"/>
          <w:sz w:val="36"/>
          <w:szCs w:val="36"/>
          <w:highlight w:val="none"/>
        </w:rPr>
      </w:pPr>
    </w:p>
    <w:p>
      <w:pPr>
        <w:rPr>
          <w:rFonts w:asciiTheme="minorEastAsia" w:hAnsiTheme="minorEastAsia" w:eastAsiaTheme="minorEastAsia" w:cstheme="minorEastAsia"/>
          <w:color w:val="auto"/>
          <w:sz w:val="36"/>
          <w:szCs w:val="36"/>
          <w:highlight w:val="none"/>
        </w:rPr>
      </w:pPr>
    </w:p>
    <w:p>
      <w:pPr>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line="241" w:lineRule="auto"/>
        <w:rPr>
          <w:rFonts w:asciiTheme="minorEastAsia" w:hAnsiTheme="minorEastAsia" w:eastAsiaTheme="minorEastAsia" w:cstheme="minorEastAsia"/>
          <w:color w:val="auto"/>
          <w:sz w:val="36"/>
          <w:szCs w:val="36"/>
          <w:highlight w:val="none"/>
        </w:rPr>
      </w:pPr>
    </w:p>
    <w:p>
      <w:pPr>
        <w:spacing w:before="101" w:line="226" w:lineRule="auto"/>
        <w:ind w:firstLine="380" w:firstLineChars="100"/>
        <w:rPr>
          <w:rFonts w:asciiTheme="minorEastAsia" w:hAnsiTheme="minorEastAsia" w:eastAsiaTheme="minorEastAsia" w:cstheme="minorEastAsia"/>
          <w:color w:val="auto"/>
          <w:sz w:val="36"/>
          <w:szCs w:val="36"/>
          <w:highlight w:val="none"/>
          <w:u w:val="single"/>
        </w:rPr>
      </w:pPr>
      <w:r>
        <w:rPr>
          <w:rFonts w:hint="eastAsia" w:asciiTheme="minorEastAsia" w:hAnsiTheme="minorEastAsia" w:eastAsiaTheme="minorEastAsia" w:cstheme="minorEastAsia"/>
          <w:color w:val="auto"/>
          <w:spacing w:val="10"/>
          <w:sz w:val="36"/>
          <w:szCs w:val="36"/>
          <w:highlight w:val="none"/>
        </w:rPr>
        <w:t>甲</w:t>
      </w:r>
      <w:r>
        <w:rPr>
          <w:rFonts w:hint="eastAsia" w:asciiTheme="minorEastAsia" w:hAnsiTheme="minorEastAsia" w:eastAsiaTheme="minorEastAsia" w:cstheme="minorEastAsia"/>
          <w:color w:val="auto"/>
          <w:spacing w:val="8"/>
          <w:sz w:val="36"/>
          <w:szCs w:val="36"/>
          <w:highlight w:val="none"/>
        </w:rPr>
        <w:t xml:space="preserve"> </w:t>
      </w:r>
      <w:r>
        <w:rPr>
          <w:rFonts w:hint="eastAsia" w:asciiTheme="minorEastAsia" w:hAnsiTheme="minorEastAsia" w:eastAsiaTheme="minorEastAsia" w:cstheme="minorEastAsia"/>
          <w:color w:val="auto"/>
          <w:spacing w:val="5"/>
          <w:sz w:val="36"/>
          <w:szCs w:val="36"/>
          <w:highlight w:val="none"/>
        </w:rPr>
        <w:t xml:space="preserve">   方：</w:t>
      </w:r>
      <w:r>
        <w:rPr>
          <w:rFonts w:hint="eastAsia" w:asciiTheme="minorEastAsia" w:hAnsiTheme="minorEastAsia" w:eastAsiaTheme="minorEastAsia" w:cstheme="minorEastAsia"/>
          <w:color w:val="auto"/>
          <w:sz w:val="36"/>
          <w:szCs w:val="36"/>
          <w:highlight w:val="none"/>
          <w:u w:val="single"/>
        </w:rPr>
        <w:t xml:space="preserve">                            </w:t>
      </w:r>
    </w:p>
    <w:p>
      <w:pPr>
        <w:spacing w:before="101" w:line="226" w:lineRule="auto"/>
        <w:ind w:firstLine="362" w:firstLineChars="100"/>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pacing w:val="1"/>
          <w:sz w:val="36"/>
          <w:szCs w:val="36"/>
          <w:highlight w:val="none"/>
        </w:rPr>
        <w:t xml:space="preserve">乙   </w:t>
      </w:r>
      <w:r>
        <w:rPr>
          <w:rFonts w:hint="eastAsia" w:asciiTheme="minorEastAsia" w:hAnsiTheme="minorEastAsia" w:eastAsiaTheme="minorEastAsia" w:cstheme="minorEastAsia"/>
          <w:color w:val="auto"/>
          <w:sz w:val="36"/>
          <w:szCs w:val="36"/>
          <w:highlight w:val="none"/>
        </w:rPr>
        <w:t xml:space="preserve"> 方：</w:t>
      </w:r>
      <w:r>
        <w:rPr>
          <w:rFonts w:hint="eastAsia" w:asciiTheme="minorEastAsia" w:hAnsiTheme="minorEastAsia" w:eastAsiaTheme="minorEastAsia" w:cstheme="minorEastAsia"/>
          <w:color w:val="auto"/>
          <w:sz w:val="36"/>
          <w:szCs w:val="36"/>
          <w:highlight w:val="none"/>
          <w:u w:val="single"/>
        </w:rPr>
        <w:t xml:space="preserve">                            </w:t>
      </w:r>
    </w:p>
    <w:p>
      <w:pPr>
        <w:spacing w:before="242" w:line="228" w:lineRule="auto"/>
        <w:ind w:firstLine="384" w:firstLineChars="100"/>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pacing w:val="12"/>
          <w:sz w:val="36"/>
          <w:szCs w:val="36"/>
          <w:highlight w:val="none"/>
        </w:rPr>
        <w:t>签</w:t>
      </w:r>
      <w:r>
        <w:rPr>
          <w:rFonts w:hint="eastAsia" w:asciiTheme="minorEastAsia" w:hAnsiTheme="minorEastAsia" w:eastAsiaTheme="minorEastAsia" w:cstheme="minorEastAsia"/>
          <w:color w:val="auto"/>
          <w:spacing w:val="8"/>
          <w:sz w:val="36"/>
          <w:szCs w:val="36"/>
          <w:highlight w:val="none"/>
        </w:rPr>
        <w:t>订</w:t>
      </w:r>
      <w:r>
        <w:rPr>
          <w:rFonts w:hint="eastAsia" w:asciiTheme="minorEastAsia" w:hAnsiTheme="minorEastAsia" w:eastAsiaTheme="minorEastAsia" w:cstheme="minorEastAsia"/>
          <w:color w:val="auto"/>
          <w:spacing w:val="6"/>
          <w:sz w:val="36"/>
          <w:szCs w:val="36"/>
          <w:highlight w:val="none"/>
        </w:rPr>
        <w:t>时间：</w:t>
      </w:r>
      <w:r>
        <w:rPr>
          <w:rFonts w:hint="eastAsia" w:asciiTheme="minorEastAsia" w:hAnsiTheme="minorEastAsia" w:eastAsiaTheme="minorEastAsia" w:cstheme="minorEastAsia"/>
          <w:color w:val="auto"/>
          <w:spacing w:val="6"/>
          <w:sz w:val="36"/>
          <w:szCs w:val="36"/>
          <w:highlight w:val="none"/>
          <w:u w:val="single"/>
        </w:rPr>
        <w:t xml:space="preserve">     年   月 </w:t>
      </w:r>
      <w:r>
        <w:rPr>
          <w:rFonts w:hint="eastAsia" w:asciiTheme="minorEastAsia" w:hAnsiTheme="minorEastAsia" w:eastAsiaTheme="minorEastAsia" w:cstheme="minorEastAsia"/>
          <w:color w:val="auto"/>
          <w:sz w:val="36"/>
          <w:szCs w:val="36"/>
          <w:highlight w:val="none"/>
          <w:u w:val="single"/>
        </w:rPr>
        <w:t xml:space="preserve">  日          </w:t>
      </w:r>
    </w:p>
    <w:p>
      <w:pPr>
        <w:spacing w:before="241" w:line="228" w:lineRule="auto"/>
        <w:ind w:firstLine="378" w:firstLineChars="100"/>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pacing w:val="9"/>
          <w:sz w:val="36"/>
          <w:szCs w:val="36"/>
          <w:highlight w:val="none"/>
        </w:rPr>
        <w:t>签订地点：</w:t>
      </w:r>
      <w:r>
        <w:rPr>
          <w:rFonts w:hint="eastAsia" w:asciiTheme="minorEastAsia" w:hAnsiTheme="minorEastAsia" w:eastAsiaTheme="minorEastAsia" w:cstheme="minorEastAsia"/>
          <w:color w:val="auto"/>
          <w:sz w:val="36"/>
          <w:szCs w:val="36"/>
          <w:highlight w:val="none"/>
          <w:u w:val="single"/>
        </w:rPr>
        <w:t xml:space="preserve">                            </w:t>
      </w:r>
    </w:p>
    <w:p>
      <w:pPr>
        <w:rPr>
          <w:rFonts w:asciiTheme="minorEastAsia" w:hAnsiTheme="minorEastAsia" w:eastAsiaTheme="minorEastAsia" w:cstheme="minorEastAsia"/>
          <w:color w:val="auto"/>
          <w:sz w:val="36"/>
          <w:szCs w:val="36"/>
          <w:highlight w:val="none"/>
        </w:rPr>
        <w:sectPr>
          <w:headerReference r:id="rId8" w:type="default"/>
          <w:footerReference r:id="rId9" w:type="default"/>
          <w:pgSz w:w="11906" w:h="16839"/>
          <w:pgMar w:top="1118" w:right="1700" w:bottom="1034" w:left="1701" w:header="878" w:footer="873" w:gutter="0"/>
          <w:cols w:space="720" w:num="1"/>
        </w:sectPr>
      </w:pPr>
    </w:p>
    <w:p>
      <w:pPr>
        <w:spacing w:before="65"/>
        <w:ind w:left="181"/>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6"/>
          <w:position w:val="26"/>
          <w:highlight w:val="none"/>
        </w:rPr>
        <w:t>甲方：</w:t>
      </w:r>
    </w:p>
    <w:p>
      <w:pPr>
        <w:ind w:left="15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9"/>
          <w:highlight w:val="none"/>
        </w:rPr>
        <w:t>法</w:t>
      </w:r>
      <w:r>
        <w:rPr>
          <w:rFonts w:hint="eastAsia" w:asciiTheme="minorEastAsia" w:hAnsiTheme="minorEastAsia" w:eastAsiaTheme="minorEastAsia" w:cstheme="minorEastAsia"/>
          <w:color w:val="auto"/>
          <w:spacing w:val="6"/>
          <w:highlight w:val="none"/>
        </w:rPr>
        <w:t>定代表人：</w:t>
      </w:r>
    </w:p>
    <w:p>
      <w:pPr>
        <w:spacing w:before="298"/>
        <w:ind w:left="154"/>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3"/>
          <w:position w:val="26"/>
          <w:highlight w:val="none"/>
        </w:rPr>
        <w:t>地址：</w:t>
      </w:r>
    </w:p>
    <w:p>
      <w:pPr>
        <w:ind w:left="15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5"/>
          <w:highlight w:val="none"/>
        </w:rPr>
        <w:t>联系人</w:t>
      </w:r>
      <w:r>
        <w:rPr>
          <w:rFonts w:hint="eastAsia" w:asciiTheme="minorEastAsia" w:hAnsiTheme="minorEastAsia" w:eastAsiaTheme="minorEastAsia" w:cstheme="minorEastAsia"/>
          <w:color w:val="auto"/>
          <w:spacing w:val="4"/>
          <w:highlight w:val="none"/>
        </w:rPr>
        <w:t>：</w:t>
      </w:r>
    </w:p>
    <w:p>
      <w:pPr>
        <w:spacing w:before="296"/>
        <w:ind w:left="15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8"/>
          <w:position w:val="26"/>
          <w:highlight w:val="none"/>
        </w:rPr>
        <w:t>联</w:t>
      </w:r>
      <w:r>
        <w:rPr>
          <w:rFonts w:hint="eastAsia" w:asciiTheme="minorEastAsia" w:hAnsiTheme="minorEastAsia" w:eastAsiaTheme="minorEastAsia" w:cstheme="minorEastAsia"/>
          <w:color w:val="auto"/>
          <w:spacing w:val="5"/>
          <w:position w:val="26"/>
          <w:highlight w:val="none"/>
        </w:rPr>
        <w:t>系方式：</w:t>
      </w:r>
    </w:p>
    <w:p>
      <w:pPr>
        <w:spacing w:before="1"/>
        <w:ind w:left="170"/>
        <w:rPr>
          <w:rFonts w:asciiTheme="minorEastAsia" w:hAnsiTheme="minorEastAsia" w:eastAsiaTheme="minorEastAsia" w:cstheme="minorEastAsia"/>
          <w:color w:val="auto"/>
          <w:spacing w:val="2"/>
          <w:highlight w:val="none"/>
        </w:rPr>
      </w:pPr>
      <w:r>
        <w:rPr>
          <w:rFonts w:hint="eastAsia" w:asciiTheme="minorEastAsia" w:hAnsiTheme="minorEastAsia" w:eastAsiaTheme="minorEastAsia" w:cstheme="minorEastAsia"/>
          <w:color w:val="auto"/>
          <w:spacing w:val="3"/>
          <w:highlight w:val="none"/>
        </w:rPr>
        <w:t>邮政编码</w:t>
      </w:r>
      <w:r>
        <w:rPr>
          <w:rFonts w:hint="eastAsia" w:asciiTheme="minorEastAsia" w:hAnsiTheme="minorEastAsia" w:eastAsiaTheme="minorEastAsia" w:cstheme="minorEastAsia"/>
          <w:color w:val="auto"/>
          <w:spacing w:val="2"/>
          <w:highlight w:val="none"/>
        </w:rPr>
        <w:t>：</w:t>
      </w:r>
    </w:p>
    <w:p>
      <w:pPr>
        <w:spacing w:before="1" w:line="227" w:lineRule="auto"/>
        <w:ind w:left="170"/>
        <w:rPr>
          <w:rFonts w:asciiTheme="minorEastAsia" w:hAnsiTheme="minorEastAsia" w:eastAsiaTheme="minorEastAsia" w:cstheme="minorEastAsia"/>
          <w:color w:val="auto"/>
          <w:spacing w:val="2"/>
          <w:highlight w:val="none"/>
        </w:rPr>
      </w:pPr>
    </w:p>
    <w:p>
      <w:pPr>
        <w:spacing w:before="298"/>
        <w:ind w:left="17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5"/>
          <w:highlight w:val="none"/>
        </w:rPr>
        <w:t>乙</w:t>
      </w:r>
      <w:r>
        <w:rPr>
          <w:rFonts w:hint="eastAsia" w:asciiTheme="minorEastAsia" w:hAnsiTheme="minorEastAsia" w:eastAsiaTheme="minorEastAsia" w:cstheme="minorEastAsia"/>
          <w:color w:val="auto"/>
          <w:spacing w:val="-3"/>
          <w:highlight w:val="none"/>
        </w:rPr>
        <w:t>方：</w:t>
      </w:r>
    </w:p>
    <w:p>
      <w:pPr>
        <w:spacing w:before="299"/>
        <w:ind w:left="15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9"/>
          <w:position w:val="26"/>
          <w:highlight w:val="none"/>
        </w:rPr>
        <w:t>法</w:t>
      </w:r>
      <w:r>
        <w:rPr>
          <w:rFonts w:hint="eastAsia" w:asciiTheme="minorEastAsia" w:hAnsiTheme="minorEastAsia" w:eastAsiaTheme="minorEastAsia" w:cstheme="minorEastAsia"/>
          <w:color w:val="auto"/>
          <w:spacing w:val="6"/>
          <w:position w:val="26"/>
          <w:highlight w:val="none"/>
        </w:rPr>
        <w:t>定代表人：</w:t>
      </w:r>
    </w:p>
    <w:p>
      <w:pPr>
        <w:ind w:left="154"/>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3"/>
          <w:highlight w:val="none"/>
        </w:rPr>
        <w:t>地址：</w:t>
      </w:r>
    </w:p>
    <w:p>
      <w:pPr>
        <w:spacing w:before="291"/>
        <w:ind w:left="15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5"/>
          <w:position w:val="26"/>
          <w:highlight w:val="none"/>
        </w:rPr>
        <w:t>联系人</w:t>
      </w:r>
      <w:r>
        <w:rPr>
          <w:rFonts w:hint="eastAsia" w:asciiTheme="minorEastAsia" w:hAnsiTheme="minorEastAsia" w:eastAsiaTheme="minorEastAsia" w:cstheme="minorEastAsia"/>
          <w:color w:val="auto"/>
          <w:spacing w:val="4"/>
          <w:position w:val="26"/>
          <w:highlight w:val="none"/>
        </w:rPr>
        <w:t>：</w:t>
      </w:r>
    </w:p>
    <w:p>
      <w:pPr>
        <w:ind w:left="155"/>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8"/>
          <w:highlight w:val="none"/>
        </w:rPr>
        <w:t>联</w:t>
      </w:r>
      <w:r>
        <w:rPr>
          <w:rFonts w:hint="eastAsia" w:asciiTheme="minorEastAsia" w:hAnsiTheme="minorEastAsia" w:eastAsiaTheme="minorEastAsia" w:cstheme="minorEastAsia"/>
          <w:color w:val="auto"/>
          <w:spacing w:val="5"/>
          <w:highlight w:val="none"/>
        </w:rPr>
        <w:t>系方式：</w:t>
      </w:r>
    </w:p>
    <w:p>
      <w:pPr>
        <w:spacing w:before="298"/>
        <w:ind w:left="17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3"/>
          <w:highlight w:val="none"/>
        </w:rPr>
        <w:t>邮政编码</w:t>
      </w:r>
      <w:r>
        <w:rPr>
          <w:rFonts w:hint="eastAsia" w:asciiTheme="minorEastAsia" w:hAnsiTheme="minorEastAsia" w:eastAsiaTheme="minorEastAsia" w:cstheme="minorEastAsia"/>
          <w:color w:val="auto"/>
          <w:spacing w:val="2"/>
          <w:highlight w:val="none"/>
        </w:rPr>
        <w:t>：</w:t>
      </w:r>
    </w:p>
    <w:p>
      <w:pPr>
        <w:spacing w:line="258" w:lineRule="auto"/>
        <w:rPr>
          <w:rFonts w:asciiTheme="minorEastAsia" w:hAnsiTheme="minorEastAsia" w:eastAsiaTheme="minorEastAsia" w:cstheme="minorEastAsia"/>
          <w:color w:val="auto"/>
          <w:highlight w:val="none"/>
        </w:rPr>
      </w:pPr>
    </w:p>
    <w:p>
      <w:pPr>
        <w:spacing w:before="66" w:line="368" w:lineRule="auto"/>
        <w:ind w:left="158" w:right="58" w:firstLine="416"/>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12"/>
          <w:highlight w:val="none"/>
        </w:rPr>
        <w:t>根据《</w:t>
      </w:r>
      <w:r>
        <w:rPr>
          <w:rFonts w:hint="eastAsia" w:asciiTheme="minorEastAsia" w:hAnsiTheme="minorEastAsia" w:eastAsiaTheme="minorEastAsia" w:cstheme="minorEastAsia"/>
          <w:color w:val="auto"/>
          <w:spacing w:val="11"/>
          <w:highlight w:val="none"/>
        </w:rPr>
        <w:t>中</w:t>
      </w:r>
      <w:r>
        <w:rPr>
          <w:rFonts w:hint="eastAsia" w:asciiTheme="minorEastAsia" w:hAnsiTheme="minorEastAsia" w:eastAsiaTheme="minorEastAsia" w:cstheme="minorEastAsia"/>
          <w:color w:val="auto"/>
          <w:spacing w:val="6"/>
          <w:highlight w:val="none"/>
        </w:rPr>
        <w:t>华人民共和国民法典》及采购编号为</w:t>
      </w:r>
      <w:r>
        <w:rPr>
          <w:rFonts w:hint="eastAsia" w:asciiTheme="minorEastAsia" w:hAnsiTheme="minorEastAsia" w:eastAsiaTheme="minorEastAsia" w:cstheme="minorEastAsia"/>
          <w:color w:val="auto"/>
          <w:spacing w:val="6"/>
          <w:highlight w:val="none"/>
          <w:u w:val="single"/>
        </w:rPr>
        <w:t xml:space="preserve">        </w:t>
      </w:r>
      <w:r>
        <w:rPr>
          <w:rFonts w:hint="eastAsia" w:asciiTheme="minorEastAsia" w:hAnsiTheme="minorEastAsia" w:eastAsiaTheme="minorEastAsia" w:cstheme="minorEastAsia"/>
          <w:color w:val="auto"/>
          <w:spacing w:val="6"/>
          <w:highlight w:val="none"/>
        </w:rPr>
        <w:t>的结果，甲方向乙方购买下述第</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pacing w:val="9"/>
          <w:highlight w:val="none"/>
        </w:rPr>
        <w:t>一条所列的货物。经双方协商一致，签订本合同</w:t>
      </w:r>
      <w:r>
        <w:rPr>
          <w:rFonts w:hint="eastAsia" w:asciiTheme="minorEastAsia" w:hAnsiTheme="minorEastAsia" w:eastAsiaTheme="minorEastAsia" w:cstheme="minorEastAsia"/>
          <w:color w:val="auto"/>
          <w:spacing w:val="8"/>
          <w:highlight w:val="none"/>
        </w:rPr>
        <w:t>。</w:t>
      </w:r>
    </w:p>
    <w:p>
      <w:pPr>
        <w:rPr>
          <w:rFonts w:asciiTheme="minorEastAsia" w:hAnsiTheme="minorEastAsia" w:eastAsiaTheme="minorEastAsia" w:cstheme="minorEastAsia"/>
          <w:color w:val="auto"/>
          <w:highlight w:val="none"/>
        </w:rPr>
      </w:pPr>
      <w:bookmarkStart w:id="567" w:name="_Toc16166"/>
      <w:r>
        <w:rPr>
          <w:rFonts w:hint="eastAsia" w:asciiTheme="minorEastAsia" w:hAnsiTheme="minorEastAsia" w:eastAsiaTheme="minorEastAsia" w:cstheme="minorEastAsia"/>
          <w:color w:val="auto"/>
          <w:highlight w:val="none"/>
        </w:rPr>
        <w:t>第一条 货物名称及品牌规格型号、数量、价格等</w:t>
      </w:r>
      <w:bookmarkEnd w:id="567"/>
      <w:r>
        <w:rPr>
          <w:rFonts w:hint="eastAsia" w:asciiTheme="minorEastAsia" w:hAnsiTheme="minorEastAsia" w:eastAsiaTheme="minorEastAsia" w:cstheme="minorEastAsia"/>
          <w:color w:val="auto"/>
          <w:highlight w:val="none"/>
        </w:rPr>
        <w:t>：</w:t>
      </w:r>
    </w:p>
    <w:p>
      <w:pPr>
        <w:rPr>
          <w:rFonts w:asciiTheme="minorEastAsia" w:hAnsiTheme="minorEastAsia" w:eastAsiaTheme="minorEastAsia" w:cstheme="minorEastAsia"/>
          <w:color w:val="auto"/>
          <w:highlight w:val="none"/>
        </w:rPr>
      </w:pPr>
    </w:p>
    <w:tbl>
      <w:tblPr>
        <w:tblStyle w:val="28"/>
        <w:tblW w:w="844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2"/>
        <w:gridCol w:w="1181"/>
        <w:gridCol w:w="1641"/>
        <w:gridCol w:w="1411"/>
        <w:gridCol w:w="707"/>
        <w:gridCol w:w="707"/>
        <w:gridCol w:w="1130"/>
        <w:gridCol w:w="10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582"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181"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货物名称</w:t>
            </w:r>
          </w:p>
        </w:tc>
        <w:tc>
          <w:tcPr>
            <w:tcW w:w="1641"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品牌型号规格</w:t>
            </w:r>
          </w:p>
        </w:tc>
        <w:tc>
          <w:tcPr>
            <w:tcW w:w="1411"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厂家及产地</w:t>
            </w:r>
          </w:p>
        </w:tc>
        <w:tc>
          <w:tcPr>
            <w:tcW w:w="707"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707"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w:t>
            </w:r>
          </w:p>
        </w:tc>
        <w:tc>
          <w:tcPr>
            <w:tcW w:w="1130"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单价 (元)</w:t>
            </w:r>
          </w:p>
        </w:tc>
        <w:tc>
          <w:tcPr>
            <w:tcW w:w="1082"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总价(元)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582"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181" w:type="dxa"/>
          </w:tcPr>
          <w:p>
            <w:pPr>
              <w:rPr>
                <w:rFonts w:asciiTheme="minorEastAsia" w:hAnsiTheme="minorEastAsia" w:eastAsiaTheme="minorEastAsia" w:cstheme="minorEastAsia"/>
                <w:color w:val="auto"/>
                <w:highlight w:val="none"/>
              </w:rPr>
            </w:pPr>
          </w:p>
        </w:tc>
        <w:tc>
          <w:tcPr>
            <w:tcW w:w="1641" w:type="dxa"/>
          </w:tcPr>
          <w:p>
            <w:pPr>
              <w:rPr>
                <w:rFonts w:asciiTheme="minorEastAsia" w:hAnsiTheme="minorEastAsia" w:eastAsiaTheme="minorEastAsia" w:cstheme="minorEastAsia"/>
                <w:color w:val="auto"/>
                <w:highlight w:val="none"/>
              </w:rPr>
            </w:pPr>
          </w:p>
        </w:tc>
        <w:tc>
          <w:tcPr>
            <w:tcW w:w="1411" w:type="dxa"/>
          </w:tcPr>
          <w:p>
            <w:pPr>
              <w:rPr>
                <w:rFonts w:asciiTheme="minorEastAsia" w:hAnsiTheme="minorEastAsia" w:eastAsiaTheme="minorEastAsia" w:cstheme="minorEastAsia"/>
                <w:color w:val="auto"/>
                <w:highlight w:val="none"/>
              </w:rPr>
            </w:pPr>
          </w:p>
        </w:tc>
        <w:tc>
          <w:tcPr>
            <w:tcW w:w="707" w:type="dxa"/>
          </w:tcPr>
          <w:p>
            <w:pPr>
              <w:rPr>
                <w:rFonts w:asciiTheme="minorEastAsia" w:hAnsiTheme="minorEastAsia" w:eastAsiaTheme="minorEastAsia" w:cstheme="minorEastAsia"/>
                <w:color w:val="auto"/>
                <w:highlight w:val="none"/>
              </w:rPr>
            </w:pPr>
          </w:p>
        </w:tc>
        <w:tc>
          <w:tcPr>
            <w:tcW w:w="707" w:type="dxa"/>
          </w:tcPr>
          <w:p>
            <w:pPr>
              <w:rPr>
                <w:rFonts w:asciiTheme="minorEastAsia" w:hAnsiTheme="minorEastAsia" w:eastAsiaTheme="minorEastAsia" w:cstheme="minorEastAsia"/>
                <w:color w:val="auto"/>
                <w:highlight w:val="none"/>
              </w:rPr>
            </w:pPr>
          </w:p>
        </w:tc>
        <w:tc>
          <w:tcPr>
            <w:tcW w:w="1130" w:type="dxa"/>
          </w:tcPr>
          <w:p>
            <w:pPr>
              <w:rPr>
                <w:rFonts w:asciiTheme="minorEastAsia" w:hAnsiTheme="minorEastAsia" w:eastAsiaTheme="minorEastAsia" w:cstheme="minorEastAsia"/>
                <w:color w:val="auto"/>
                <w:highlight w:val="none"/>
              </w:rPr>
            </w:pPr>
          </w:p>
        </w:tc>
        <w:tc>
          <w:tcPr>
            <w:tcW w:w="1082" w:type="dxa"/>
          </w:tcPr>
          <w:p>
            <w:pPr>
              <w:rPr>
                <w:rFonts w:asciiTheme="minorEastAsia" w:hAnsiTheme="minorEastAsia" w:eastAsiaTheme="minorEastAsia" w:cstheme="minor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582"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181" w:type="dxa"/>
          </w:tcPr>
          <w:p>
            <w:pPr>
              <w:rPr>
                <w:rFonts w:asciiTheme="minorEastAsia" w:hAnsiTheme="minorEastAsia" w:eastAsiaTheme="minorEastAsia" w:cstheme="minorEastAsia"/>
                <w:color w:val="auto"/>
                <w:highlight w:val="none"/>
              </w:rPr>
            </w:pPr>
          </w:p>
        </w:tc>
        <w:tc>
          <w:tcPr>
            <w:tcW w:w="1641" w:type="dxa"/>
          </w:tcPr>
          <w:p>
            <w:pPr>
              <w:rPr>
                <w:rFonts w:asciiTheme="minorEastAsia" w:hAnsiTheme="minorEastAsia" w:eastAsiaTheme="minorEastAsia" w:cstheme="minorEastAsia"/>
                <w:color w:val="auto"/>
                <w:highlight w:val="none"/>
              </w:rPr>
            </w:pPr>
          </w:p>
        </w:tc>
        <w:tc>
          <w:tcPr>
            <w:tcW w:w="1411" w:type="dxa"/>
          </w:tcPr>
          <w:p>
            <w:pPr>
              <w:rPr>
                <w:rFonts w:asciiTheme="minorEastAsia" w:hAnsiTheme="minorEastAsia" w:eastAsiaTheme="minorEastAsia" w:cstheme="minorEastAsia"/>
                <w:color w:val="auto"/>
                <w:highlight w:val="none"/>
              </w:rPr>
            </w:pPr>
          </w:p>
        </w:tc>
        <w:tc>
          <w:tcPr>
            <w:tcW w:w="707" w:type="dxa"/>
          </w:tcPr>
          <w:p>
            <w:pPr>
              <w:rPr>
                <w:rFonts w:asciiTheme="minorEastAsia" w:hAnsiTheme="minorEastAsia" w:eastAsiaTheme="minorEastAsia" w:cstheme="minorEastAsia"/>
                <w:color w:val="auto"/>
                <w:highlight w:val="none"/>
              </w:rPr>
            </w:pPr>
          </w:p>
        </w:tc>
        <w:tc>
          <w:tcPr>
            <w:tcW w:w="707" w:type="dxa"/>
          </w:tcPr>
          <w:p>
            <w:pPr>
              <w:rPr>
                <w:rFonts w:asciiTheme="minorEastAsia" w:hAnsiTheme="minorEastAsia" w:eastAsiaTheme="minorEastAsia" w:cstheme="minorEastAsia"/>
                <w:color w:val="auto"/>
                <w:highlight w:val="none"/>
              </w:rPr>
            </w:pPr>
          </w:p>
        </w:tc>
        <w:tc>
          <w:tcPr>
            <w:tcW w:w="1130" w:type="dxa"/>
          </w:tcPr>
          <w:p>
            <w:pPr>
              <w:rPr>
                <w:rFonts w:asciiTheme="minorEastAsia" w:hAnsiTheme="minorEastAsia" w:eastAsiaTheme="minorEastAsia" w:cstheme="minorEastAsia"/>
                <w:color w:val="auto"/>
                <w:highlight w:val="none"/>
              </w:rPr>
            </w:pPr>
          </w:p>
        </w:tc>
        <w:tc>
          <w:tcPr>
            <w:tcW w:w="1082" w:type="dxa"/>
          </w:tcPr>
          <w:p>
            <w:pPr>
              <w:rPr>
                <w:rFonts w:asciiTheme="minorEastAsia" w:hAnsiTheme="minorEastAsia" w:eastAsiaTheme="minorEastAsia" w:cstheme="minor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6" w:hRule="atLeast"/>
        </w:trPr>
        <w:tc>
          <w:tcPr>
            <w:tcW w:w="582"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1181" w:type="dxa"/>
          </w:tcPr>
          <w:p>
            <w:pPr>
              <w:rPr>
                <w:rFonts w:asciiTheme="minorEastAsia" w:hAnsiTheme="minorEastAsia" w:eastAsiaTheme="minorEastAsia" w:cstheme="minorEastAsia"/>
                <w:color w:val="auto"/>
                <w:highlight w:val="none"/>
              </w:rPr>
            </w:pPr>
          </w:p>
        </w:tc>
        <w:tc>
          <w:tcPr>
            <w:tcW w:w="1641" w:type="dxa"/>
          </w:tcPr>
          <w:p>
            <w:pPr>
              <w:rPr>
                <w:rFonts w:asciiTheme="minorEastAsia" w:hAnsiTheme="minorEastAsia" w:eastAsiaTheme="minorEastAsia" w:cstheme="minorEastAsia"/>
                <w:color w:val="auto"/>
                <w:highlight w:val="none"/>
              </w:rPr>
            </w:pPr>
          </w:p>
        </w:tc>
        <w:tc>
          <w:tcPr>
            <w:tcW w:w="1411" w:type="dxa"/>
          </w:tcPr>
          <w:p>
            <w:pPr>
              <w:rPr>
                <w:rFonts w:asciiTheme="minorEastAsia" w:hAnsiTheme="minorEastAsia" w:eastAsiaTheme="minorEastAsia" w:cstheme="minorEastAsia"/>
                <w:color w:val="auto"/>
                <w:highlight w:val="none"/>
              </w:rPr>
            </w:pPr>
          </w:p>
        </w:tc>
        <w:tc>
          <w:tcPr>
            <w:tcW w:w="707" w:type="dxa"/>
          </w:tcPr>
          <w:p>
            <w:pPr>
              <w:rPr>
                <w:rFonts w:asciiTheme="minorEastAsia" w:hAnsiTheme="minorEastAsia" w:eastAsiaTheme="minorEastAsia" w:cstheme="minorEastAsia"/>
                <w:color w:val="auto"/>
                <w:highlight w:val="none"/>
              </w:rPr>
            </w:pPr>
          </w:p>
        </w:tc>
        <w:tc>
          <w:tcPr>
            <w:tcW w:w="707" w:type="dxa"/>
          </w:tcPr>
          <w:p>
            <w:pPr>
              <w:rPr>
                <w:rFonts w:asciiTheme="minorEastAsia" w:hAnsiTheme="minorEastAsia" w:eastAsiaTheme="minorEastAsia" w:cstheme="minorEastAsia"/>
                <w:color w:val="auto"/>
                <w:highlight w:val="none"/>
              </w:rPr>
            </w:pPr>
          </w:p>
        </w:tc>
        <w:tc>
          <w:tcPr>
            <w:tcW w:w="1130" w:type="dxa"/>
          </w:tcPr>
          <w:p>
            <w:pPr>
              <w:rPr>
                <w:rFonts w:asciiTheme="minorEastAsia" w:hAnsiTheme="minorEastAsia" w:eastAsiaTheme="minorEastAsia" w:cstheme="minorEastAsia"/>
                <w:color w:val="auto"/>
                <w:highlight w:val="none"/>
              </w:rPr>
            </w:pPr>
          </w:p>
        </w:tc>
        <w:tc>
          <w:tcPr>
            <w:tcW w:w="1082" w:type="dxa"/>
          </w:tcPr>
          <w:p>
            <w:pPr>
              <w:rPr>
                <w:rFonts w:asciiTheme="minorEastAsia" w:hAnsiTheme="minorEastAsia" w:eastAsiaTheme="minorEastAsia" w:cstheme="minor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1763" w:type="dxa"/>
            <w:gridSpan w:val="2"/>
          </w:tcPr>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总金额(人民币)</w:t>
            </w:r>
          </w:p>
        </w:tc>
        <w:tc>
          <w:tcPr>
            <w:tcW w:w="6678" w:type="dxa"/>
            <w:gridSpan w:val="6"/>
          </w:tcPr>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万  仟  佰  拾  元  角  分 (￥0,000,000.00)</w:t>
            </w:r>
          </w:p>
        </w:tc>
      </w:tr>
    </w:tbl>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(配置清单及技术参数详见附件)</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合同约定的货物单价已包含购买货物及售后服务所发生的全部费用，包括但不限于税费(9%工程税）、代理费、运输费、保险费、装卸费、配套资料费、安装调试费用、验收时的试剂耗材、强制性第三方监督检验机构的验收检验费、培训费用以及售后服务费用等。货物单价在本合同履行过程中保持不变，经甲乙双方协商一致以书面形式予以变更的除外。</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rPr>
          <w:rFonts w:asciiTheme="minorEastAsia" w:hAnsiTheme="minorEastAsia" w:eastAsiaTheme="minorEastAsia" w:cstheme="minorEastAsia"/>
          <w:color w:val="auto"/>
          <w:highlight w:val="none"/>
        </w:rPr>
        <w:sectPr>
          <w:headerReference r:id="rId10" w:type="default"/>
          <w:footerReference r:id="rId11" w:type="default"/>
          <w:pgSz w:w="11906" w:h="16839"/>
          <w:pgMar w:top="1118" w:right="1743" w:bottom="1458" w:left="1653" w:header="878" w:footer="1298" w:gutter="0"/>
          <w:cols w:space="720" w:num="1"/>
        </w:sectPr>
      </w:pPr>
    </w:p>
    <w:p>
      <w:pPr>
        <w:numPr>
          <w:ilvl w:val="0"/>
          <w:numId w:val="2"/>
        </w:numPr>
        <w:rPr>
          <w:rFonts w:asciiTheme="minorEastAsia" w:hAnsiTheme="minorEastAsia" w:eastAsiaTheme="minorEastAsia" w:cstheme="minorEastAsia"/>
          <w:color w:val="auto"/>
          <w:highlight w:val="none"/>
        </w:rPr>
      </w:pPr>
      <w:bookmarkStart w:id="568" w:name="_Toc5566"/>
      <w:r>
        <w:rPr>
          <w:rFonts w:hint="eastAsia" w:asciiTheme="minorEastAsia" w:hAnsiTheme="minorEastAsia" w:eastAsiaTheme="minorEastAsia" w:cstheme="minorEastAsia"/>
          <w:color w:val="auto"/>
          <w:highlight w:val="none"/>
        </w:rPr>
        <w:t>货物质量要求</w:t>
      </w:r>
      <w:bookmarkEnd w:id="568"/>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乙方提供的货物必须符合：</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中华人民共和国国家标准</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行业标准</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货物生产商的产品质量标准</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有关部门制定的相关技术规范</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符合产品说明书表明的质量状况和使用性能</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   </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乙方提供的货物应达到以下技术指标和参数要：</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按投标 (应答) 文件中作出的承诺 (仅限于通过招投标结果签订的合同)</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按产品说明书</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详见附件</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3.提供的货物必须是合法厂家生产和经销的原包装未使用过的合格产品。</w:t>
      </w:r>
    </w:p>
    <w:p>
      <w:pPr>
        <w:ind w:left="23" w:firstLine="419"/>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69" w:name="_Toc25915"/>
      <w:r>
        <w:rPr>
          <w:rFonts w:hint="eastAsia" w:asciiTheme="minorEastAsia" w:hAnsiTheme="minorEastAsia" w:eastAsiaTheme="minorEastAsia" w:cstheme="minorEastAsia"/>
          <w:color w:val="auto"/>
          <w:highlight w:val="none"/>
        </w:rPr>
        <w:t>第三条 货物交付及验收</w:t>
      </w:r>
      <w:bookmarkEnd w:id="569"/>
    </w:p>
    <w:p>
      <w:pPr>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1. 交货日期和地点:</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合同签订后30个日历日内交货，产品的附件及专用工具应随产品一同交付。</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交货 (具体) 地点：</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(安装地点) 。</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货物配备的技术文件清单：</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技术资料应齐全，提供但不限于如下技术文件和资料：</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产品出厂检验合格证  ；</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产品到货清单。</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 包装要求：</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乙方保证货物的包装符合运输的要求，足以保护货物在运输过程中不受锈蚀、损坏或灭失，并承担毁损、灭失的风险。</w:t>
      </w:r>
    </w:p>
    <w:p>
      <w:pPr>
        <w:ind w:firstLine="480" w:firstLineChars="200"/>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4.乙方负责将货物运输至约定的交货地点并交付予甲方，并支付因运输货物所发生的一切费用，包括但不限于运输费、保险费、装卸费等。货物在送达验收前，甲方需要变更运输计划 (托运时间、运达地点) 或者取消托运的，可以与乙方协商变更协议内容和运费变更事宜。</w:t>
      </w:r>
    </w:p>
    <w:p>
      <w:pPr>
        <w:ind w:left="21" w:firstLine="416"/>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5.货物抵达目的地后的检验程序和期限：</w:t>
      </w: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货物抵达交货地点后，乙方及时通知甲方进行收货检验，甲方接到通知后的  1个工作日内安排人员对货物的外包装完好性和外包装标示的品牌、型号、规格、数量是否符合要求进行检验，并签署相应的收货报告。</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6.乙方委派技术人员进行现场安装、调试，并提供货物安装调试的一切技术支持。安装调试的具体时间由甲方提前 3 天通知乙方。</w:t>
      </w:r>
    </w:p>
    <w:p>
      <w:pPr>
        <w:ind w:left="23" w:firstLine="419"/>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7.在货物安装调试完毕后，共同验收方在3个工作日内对货物进行验收。验收内容包括但不限于：</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型号、数量及外观；</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货物所附技术资料；</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 货物组件及配置；</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 货物功能、性能及各项技术参数指标；</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 验收标准：</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sym w:font="Wingdings 2" w:char="0052"/>
      </w:r>
      <w:r>
        <w:rPr>
          <w:rFonts w:hint="eastAsia" w:asciiTheme="minorEastAsia" w:hAnsiTheme="minorEastAsia" w:eastAsiaTheme="minorEastAsia" w:cstheme="minorEastAsia"/>
          <w:color w:val="auto"/>
          <w:highlight w:val="none"/>
        </w:rPr>
        <w:t>本合同的有关规定 。</w:t>
      </w:r>
    </w:p>
    <w:p>
      <w:pPr>
        <w:rPr>
          <w:rFonts w:asciiTheme="minorEastAsia" w:hAnsiTheme="minorEastAsia" w:eastAsiaTheme="minorEastAsia" w:cstheme="minorEastAsia"/>
          <w:color w:val="auto"/>
          <w:highlight w:val="none"/>
        </w:rPr>
      </w:pPr>
    </w:p>
    <w:p>
      <w:pPr>
        <w:numPr>
          <w:ilvl w:val="0"/>
          <w:numId w:val="3"/>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甲乙双方及相关单位共同进行验收。乙方负责免费安装、调试。安装、调试完成后， 由甲乙双方组成验收小组共同进行技术验收，验收合格后签署《验收报告》。</w:t>
      </w:r>
    </w:p>
    <w:p>
      <w:pPr>
        <w:ind w:left="45" w:firstLine="396"/>
        <w:rPr>
          <w:rFonts w:asciiTheme="minorEastAsia" w:hAnsiTheme="minorEastAsia" w:eastAsiaTheme="minorEastAsia" w:cstheme="minorEastAsia"/>
          <w:color w:val="auto"/>
          <w:highlight w:val="none"/>
        </w:rPr>
      </w:pPr>
    </w:p>
    <w:p>
      <w:pPr>
        <w:numPr>
          <w:ilvl w:val="0"/>
          <w:numId w:val="3"/>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甲方在验收中如发现货物不符合合同的约定，有权拒绝接受货物，并在 5 个工作日内签发“拒绝收货通知书”。乙方应于15个日历日内更换或补齐符合合同约定的货物。</w:t>
      </w:r>
    </w:p>
    <w:p>
      <w:pPr>
        <w:ind w:left="25" w:firstLine="432"/>
        <w:rPr>
          <w:rFonts w:asciiTheme="minorEastAsia" w:hAnsiTheme="minorEastAsia" w:eastAsiaTheme="minorEastAsia" w:cstheme="minorEastAsia"/>
          <w:color w:val="auto"/>
          <w:highlight w:val="none"/>
        </w:rPr>
      </w:pPr>
    </w:p>
    <w:p>
      <w:pPr>
        <w:numPr>
          <w:ilvl w:val="0"/>
          <w:numId w:val="3"/>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如乙方对验收结果有异议，可以委托甲方所在地商检部门进行复检。商检部门的检验结果表明货物不符合合同约定的，因复检发生的费用由乙方承担；检验结果表明货物符合合同约定的，因复检发生的费用由甲方承担。</w:t>
      </w:r>
    </w:p>
    <w:p>
      <w:pPr>
        <w:ind w:left="21" w:firstLine="437"/>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70" w:name="_Toc25384"/>
      <w:r>
        <w:rPr>
          <w:rFonts w:hint="eastAsia" w:asciiTheme="minorEastAsia" w:hAnsiTheme="minorEastAsia" w:eastAsiaTheme="minorEastAsia" w:cstheme="minorEastAsia"/>
          <w:color w:val="auto"/>
          <w:highlight w:val="none"/>
        </w:rPr>
        <w:t>第四条付款方式</w:t>
      </w:r>
      <w:bookmarkEnd w:id="570"/>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1.本次合同总金额为￥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 xml:space="preserve"> 。</w:t>
      </w:r>
    </w:p>
    <w:p>
      <w:pPr>
        <w:ind w:left="458"/>
        <w:rPr>
          <w:rFonts w:asciiTheme="minorEastAsia" w:hAnsiTheme="minorEastAsia" w:eastAsiaTheme="minorEastAsia" w:cstheme="minorEastAsia"/>
          <w:color w:val="auto"/>
          <w:highlight w:val="none"/>
        </w:rPr>
      </w:pPr>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合同签订后，进场前预付合同总额的30%，主设备进场后支付至合同总额的70%，施工结束验收合格付至合同总额的100%。 </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71" w:name="_Toc12707"/>
      <w:r>
        <w:rPr>
          <w:rFonts w:hint="eastAsia" w:asciiTheme="minorEastAsia" w:hAnsiTheme="minorEastAsia" w:eastAsiaTheme="minorEastAsia" w:cstheme="minorEastAsia"/>
          <w:color w:val="auto"/>
          <w:highlight w:val="none"/>
        </w:rPr>
        <w:t>2.乙方指定下列收款账户收取本合同价款，且本条款确定的内容不得撤销、不得变更。</w:t>
      </w:r>
      <w:bookmarkEnd w:id="571"/>
    </w:p>
    <w:p>
      <w:pPr>
        <w:rPr>
          <w:rFonts w:asciiTheme="minorEastAsia" w:hAnsiTheme="minorEastAsia" w:eastAsiaTheme="minorEastAsia" w:cstheme="minorEastAsia"/>
          <w:color w:val="auto"/>
          <w:highlight w:val="none"/>
        </w:rPr>
      </w:pPr>
      <w:bookmarkStart w:id="572" w:name="_Toc1307"/>
      <w:r>
        <w:rPr>
          <w:rFonts w:hint="eastAsia" w:asciiTheme="minorEastAsia" w:hAnsiTheme="minorEastAsia" w:eastAsiaTheme="minorEastAsia" w:cstheme="minorEastAsia"/>
          <w:color w:val="auto"/>
          <w:highlight w:val="none"/>
        </w:rPr>
        <w:t>户  名：</w:t>
      </w:r>
      <w:bookmarkEnd w:id="572"/>
    </w:p>
    <w:p>
      <w:pPr>
        <w:rPr>
          <w:rFonts w:asciiTheme="minorEastAsia" w:hAnsiTheme="minorEastAsia" w:eastAsiaTheme="minorEastAsia" w:cstheme="minorEastAsia"/>
          <w:color w:val="auto"/>
          <w:highlight w:val="none"/>
        </w:rPr>
      </w:pPr>
      <w:bookmarkStart w:id="573" w:name="_Toc18152"/>
      <w:r>
        <w:rPr>
          <w:rFonts w:hint="eastAsia" w:asciiTheme="minorEastAsia" w:hAnsiTheme="minorEastAsia" w:eastAsiaTheme="minorEastAsia" w:cstheme="minorEastAsia"/>
          <w:color w:val="auto"/>
          <w:highlight w:val="none"/>
        </w:rPr>
        <w:t>开户行：</w:t>
      </w:r>
      <w:bookmarkEnd w:id="573"/>
    </w:p>
    <w:p>
      <w:pPr>
        <w:rPr>
          <w:rFonts w:asciiTheme="minorEastAsia" w:hAnsiTheme="minorEastAsia" w:eastAsiaTheme="minorEastAsia" w:cstheme="minorEastAsia"/>
          <w:color w:val="auto"/>
          <w:highlight w:val="none"/>
        </w:rPr>
      </w:pPr>
      <w:bookmarkStart w:id="574" w:name="_Toc8726"/>
      <w:r>
        <w:rPr>
          <w:rFonts w:hint="eastAsia" w:asciiTheme="minorEastAsia" w:hAnsiTheme="minorEastAsia" w:eastAsiaTheme="minorEastAsia" w:cstheme="minorEastAsia"/>
          <w:color w:val="auto"/>
          <w:highlight w:val="none"/>
        </w:rPr>
        <w:t>账  号：</w:t>
      </w:r>
      <w:bookmarkEnd w:id="574"/>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75" w:name="_Toc28475"/>
      <w:r>
        <w:rPr>
          <w:rFonts w:hint="eastAsia" w:asciiTheme="minorEastAsia" w:hAnsiTheme="minorEastAsia" w:eastAsiaTheme="minorEastAsia" w:cstheme="minorEastAsia"/>
          <w:color w:val="auto"/>
          <w:highlight w:val="none"/>
        </w:rPr>
        <w:t>3.如需开发票，甲方开票信息如下：</w:t>
      </w:r>
      <w:bookmarkEnd w:id="575"/>
    </w:p>
    <w:p>
      <w:pPr>
        <w:rPr>
          <w:rFonts w:asciiTheme="minorEastAsia" w:hAnsiTheme="minorEastAsia" w:eastAsiaTheme="minorEastAsia" w:cstheme="minorEastAsia"/>
          <w:color w:val="auto"/>
          <w:highlight w:val="none"/>
        </w:rPr>
      </w:pPr>
      <w:bookmarkStart w:id="576" w:name="_Toc27244"/>
      <w:r>
        <w:rPr>
          <w:rFonts w:hint="eastAsia" w:asciiTheme="minorEastAsia" w:hAnsiTheme="minorEastAsia" w:eastAsiaTheme="minorEastAsia" w:cstheme="minorEastAsia"/>
          <w:color w:val="auto"/>
          <w:highlight w:val="none"/>
        </w:rPr>
        <w:t>单位名称：</w:t>
      </w:r>
      <w:bookmarkEnd w:id="576"/>
    </w:p>
    <w:p>
      <w:pPr>
        <w:rPr>
          <w:rFonts w:asciiTheme="minorEastAsia" w:hAnsiTheme="minorEastAsia" w:eastAsiaTheme="minorEastAsia" w:cstheme="minorEastAsia"/>
          <w:color w:val="auto"/>
          <w:highlight w:val="none"/>
        </w:rPr>
      </w:pPr>
      <w:bookmarkStart w:id="577" w:name="_Toc5354"/>
      <w:r>
        <w:rPr>
          <w:rFonts w:hint="eastAsia" w:asciiTheme="minorEastAsia" w:hAnsiTheme="minorEastAsia" w:eastAsiaTheme="minorEastAsia" w:cstheme="minorEastAsia"/>
          <w:color w:val="auto"/>
          <w:highlight w:val="none"/>
        </w:rPr>
        <w:t>纳税识别号：</w:t>
      </w:r>
      <w:bookmarkEnd w:id="577"/>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单位注册地址：</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联系电话:</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开户银行：</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账号：</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rPr>
          <w:rFonts w:asciiTheme="minorEastAsia" w:hAnsiTheme="minorEastAsia" w:eastAsiaTheme="minorEastAsia" w:cstheme="minorEastAsia"/>
          <w:color w:val="auto"/>
          <w:highlight w:val="none"/>
        </w:rPr>
      </w:pPr>
      <w:bookmarkStart w:id="578" w:name="_Toc13681"/>
      <w:r>
        <w:rPr>
          <w:rFonts w:hint="eastAsia" w:asciiTheme="minorEastAsia" w:hAnsiTheme="minorEastAsia" w:eastAsiaTheme="minorEastAsia" w:cstheme="minorEastAsia"/>
          <w:color w:val="auto"/>
          <w:highlight w:val="none"/>
        </w:rPr>
        <w:t>第五条 质量保证期限及发生问题的处理</w:t>
      </w:r>
      <w:bookmarkEnd w:id="578"/>
    </w:p>
    <w:p>
      <w:pPr>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质保期内，如果有因质量问题而引起的损坏，乙方应对产品予以维修或更换，全部服务费和更换产品或配件的费用由乙方承担；保修期后继续支持维修，并按成本价标准收取维修及零件费用。</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质保期内，乙方将向甲方提供优质的售后技术支持服务，开通24小时热线电话接受甲方的电话技术咨询，2小时内响应；如故障不能排除，乙方应在8小时内提供现场服务。</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79" w:name="_Toc22343"/>
      <w:r>
        <w:rPr>
          <w:rFonts w:hint="eastAsia" w:asciiTheme="minorEastAsia" w:hAnsiTheme="minorEastAsia" w:eastAsiaTheme="minorEastAsia" w:cstheme="minorEastAsia"/>
          <w:color w:val="auto"/>
          <w:highlight w:val="none"/>
        </w:rPr>
        <w:t>第六条 技术培训服务要求</w:t>
      </w:r>
      <w:bookmarkEnd w:id="579"/>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供应商提供详细技术资料并免费按需方要求提供技术培训。</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 培训的内容及方案应由双方协商制定。供方前来进行技术培训人员的费用包括在合同总价中。</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80" w:name="_Toc32056"/>
      <w:r>
        <w:rPr>
          <w:rFonts w:hint="eastAsia" w:asciiTheme="minorEastAsia" w:hAnsiTheme="minorEastAsia" w:eastAsiaTheme="minorEastAsia" w:cstheme="minorEastAsia"/>
          <w:color w:val="auto"/>
          <w:highlight w:val="none"/>
        </w:rPr>
        <w:t>第七条 违约责任</w:t>
      </w:r>
      <w:bookmarkEnd w:id="580"/>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甲乙双方均应全面履行本合同，任何一方未能按照本合同的约定履行自己的义务，应承担违约责任。违约方应当赔偿守约方因此遭受的损失，包括但不限于守约方的直接经济损失、间接经济损失等。</w:t>
      </w:r>
    </w:p>
    <w:p>
      <w:pPr>
        <w:rPr>
          <w:rFonts w:asciiTheme="minorEastAsia" w:hAnsiTheme="minorEastAsia" w:eastAsiaTheme="minorEastAsia" w:cstheme="minorEastAsia"/>
          <w:color w:val="auto"/>
          <w:highlight w:val="none"/>
        </w:rPr>
      </w:pPr>
    </w:p>
    <w:p>
      <w:pPr>
        <w:numPr>
          <w:ilvl w:val="0"/>
          <w:numId w:val="4"/>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乙方不能交货的，需偿付不能交货部分货款的</w:t>
      </w:r>
      <w:r>
        <w:rPr>
          <w:rFonts w:hint="eastAsia" w:asciiTheme="minorEastAsia" w:hAnsiTheme="minorEastAsia" w:eastAsiaTheme="minorEastAsia" w:cstheme="minorEastAsia"/>
          <w:color w:val="auto"/>
          <w:highlight w:val="none"/>
          <w:u w:val="single"/>
        </w:rPr>
        <w:t>5</w:t>
      </w:r>
      <w:r>
        <w:rPr>
          <w:rFonts w:hint="eastAsia" w:asciiTheme="minorEastAsia" w:hAnsiTheme="minorEastAsia" w:eastAsiaTheme="minorEastAsia" w:cstheme="minorEastAsia"/>
          <w:color w:val="auto"/>
          <w:highlight w:val="none"/>
        </w:rPr>
        <w:t>%的违约金，并报主管部门按相关规定处理。</w:t>
      </w:r>
    </w:p>
    <w:p>
      <w:pPr>
        <w:numPr>
          <w:ilvl w:val="255"/>
          <w:numId w:val="0"/>
        </w:numPr>
        <w:rPr>
          <w:rFonts w:asciiTheme="minorEastAsia" w:hAnsiTheme="minorEastAsia" w:eastAsiaTheme="minorEastAsia" w:cstheme="minorEastAsia"/>
          <w:color w:val="auto"/>
          <w:highlight w:val="none"/>
        </w:rPr>
      </w:pPr>
    </w:p>
    <w:p>
      <w:pPr>
        <w:numPr>
          <w:ilvl w:val="0"/>
          <w:numId w:val="4"/>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甲方无正当理由拒收货物，拒付货款的，甲方需向乙方偿付合同总金额</w:t>
      </w:r>
      <w:r>
        <w:rPr>
          <w:rFonts w:hint="eastAsia" w:asciiTheme="minorEastAsia" w:hAnsiTheme="minorEastAsia" w:eastAsiaTheme="minorEastAsia" w:cstheme="minorEastAsia"/>
          <w:color w:val="auto"/>
          <w:highlight w:val="none"/>
          <w:u w:val="single"/>
        </w:rPr>
        <w:t xml:space="preserve"> 5%</w:t>
      </w:r>
      <w:r>
        <w:rPr>
          <w:rFonts w:hint="eastAsia" w:asciiTheme="minorEastAsia" w:hAnsiTheme="minorEastAsia" w:eastAsiaTheme="minorEastAsia" w:cstheme="minorEastAsia"/>
          <w:color w:val="auto"/>
          <w:highlight w:val="none"/>
        </w:rPr>
        <w:t xml:space="preserve">的违约金。 </w:t>
      </w:r>
    </w:p>
    <w:p>
      <w:pPr>
        <w:numPr>
          <w:ilvl w:val="255"/>
          <w:numId w:val="0"/>
        </w:numPr>
        <w:rPr>
          <w:rFonts w:asciiTheme="minorEastAsia" w:hAnsiTheme="minorEastAsia" w:eastAsiaTheme="minorEastAsia" w:cstheme="minorEastAsia"/>
          <w:color w:val="auto"/>
          <w:highlight w:val="none"/>
        </w:rPr>
      </w:pPr>
    </w:p>
    <w:p>
      <w:pPr>
        <w:numPr>
          <w:ilvl w:val="0"/>
          <w:numId w:val="5"/>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乙方逾期交付一般产品超过5天，甲方有权终止本合同，甲方并有权向乙方追缴违约金及要求乙方赔偿损失。</w:t>
      </w:r>
    </w:p>
    <w:p>
      <w:pPr>
        <w:ind w:left="35" w:firstLine="439"/>
        <w:rPr>
          <w:rFonts w:asciiTheme="minorEastAsia" w:hAnsiTheme="minorEastAsia" w:eastAsiaTheme="minorEastAsia" w:cstheme="minorEastAsia"/>
          <w:color w:val="auto"/>
          <w:highlight w:val="none"/>
        </w:rPr>
      </w:pPr>
    </w:p>
    <w:p>
      <w:pPr>
        <w:numPr>
          <w:ilvl w:val="0"/>
          <w:numId w:val="5"/>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若乙方未按本合同的约定提供现场安装、调试或保修服务，甲方有权自行委托第三方提供甲方所需要的技术支持和售后服务，所发生的费用由乙方承担，如因此造成甲方损失的，乙方应承担赔偿责任。</w:t>
      </w:r>
    </w:p>
    <w:p>
      <w:pPr>
        <w:ind w:left="23" w:firstLine="420"/>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81" w:name="_Toc26619"/>
      <w:r>
        <w:rPr>
          <w:rFonts w:hint="eastAsia" w:asciiTheme="minorEastAsia" w:hAnsiTheme="minorEastAsia" w:eastAsiaTheme="minorEastAsia" w:cstheme="minorEastAsia"/>
          <w:color w:val="auto"/>
          <w:highlight w:val="none"/>
        </w:rPr>
        <w:t>第八条 权利瑕疵担保</w:t>
      </w:r>
      <w:bookmarkEnd w:id="581"/>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乙方应就交付的货物，保证甲方免受任何第三方主张任何权利。</w:t>
      </w:r>
    </w:p>
    <w:p>
      <w:pPr>
        <w:rPr>
          <w:rFonts w:asciiTheme="minorEastAsia" w:hAnsiTheme="minorEastAsia" w:eastAsiaTheme="minorEastAsia" w:cstheme="minorEastAsia"/>
          <w:color w:val="auto"/>
          <w:highlight w:val="none"/>
        </w:rPr>
      </w:pPr>
    </w:p>
    <w:p>
      <w:pPr>
        <w:numPr>
          <w:ilvl w:val="0"/>
          <w:numId w:val="6"/>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如第三人对合同标的物主张所有权或知识产权的侵权损害赔偿请求，甲方有权解除本合同，并追究乙方的违约责任。</w:t>
      </w:r>
    </w:p>
    <w:p>
      <w:pPr>
        <w:ind w:left="23" w:firstLine="415"/>
        <w:rPr>
          <w:rFonts w:asciiTheme="minorEastAsia" w:hAnsiTheme="minorEastAsia" w:eastAsiaTheme="minorEastAsia" w:cstheme="minorEastAsia"/>
          <w:color w:val="auto"/>
          <w:highlight w:val="none"/>
        </w:rPr>
      </w:pPr>
    </w:p>
    <w:p>
      <w:pPr>
        <w:numPr>
          <w:ilvl w:val="0"/>
          <w:numId w:val="6"/>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在合同履行过程中，甲方有确切证据证明第三方可能就合同标的物主张权利的，甲方有权中止支付相应的价款。</w:t>
      </w:r>
    </w:p>
    <w:p>
      <w:pPr>
        <w:ind w:left="23" w:firstLine="419"/>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82" w:name="_Toc21788"/>
      <w:r>
        <w:rPr>
          <w:rFonts w:hint="eastAsia" w:asciiTheme="minorEastAsia" w:hAnsiTheme="minorEastAsia" w:eastAsiaTheme="minorEastAsia" w:cstheme="minorEastAsia"/>
          <w:color w:val="auto"/>
          <w:highlight w:val="none"/>
        </w:rPr>
        <w:t>第九条 风险承担</w:t>
      </w:r>
      <w:bookmarkEnd w:id="582"/>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 货物毁损、灭失的风险 (不可抗力因素除外) ，在货物经甲方验收合格以前由乙方承担，在货物经甲方验收合格以后由甲方承担。</w:t>
      </w:r>
    </w:p>
    <w:p>
      <w:pPr>
        <w:rPr>
          <w:rFonts w:asciiTheme="minorEastAsia" w:hAnsiTheme="minorEastAsia" w:eastAsiaTheme="minorEastAsia" w:cstheme="minorEastAsia"/>
          <w:color w:val="auto"/>
          <w:highlight w:val="none"/>
        </w:rPr>
      </w:pPr>
    </w:p>
    <w:p>
      <w:pPr>
        <w:numPr>
          <w:ilvl w:val="0"/>
          <w:numId w:val="7"/>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甲方因货物质量不符合约定的质量要求而拒绝接受货物或解除合同的，货物毁损、灭失的风险由乙方承担。</w:t>
      </w:r>
    </w:p>
    <w:p>
      <w:pPr>
        <w:ind w:left="27" w:firstLine="411"/>
        <w:rPr>
          <w:rFonts w:asciiTheme="minorEastAsia" w:hAnsiTheme="minorEastAsia" w:eastAsiaTheme="minorEastAsia" w:cstheme="minorEastAsia"/>
          <w:color w:val="auto"/>
          <w:highlight w:val="none"/>
        </w:rPr>
      </w:pPr>
    </w:p>
    <w:p>
      <w:pPr>
        <w:numPr>
          <w:ilvl w:val="0"/>
          <w:numId w:val="7"/>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货物毁损、灭失的风险由甲方承担的 (不可抗力因素除外),不影响因乙方履行合同义务不符合约定的， 甲方要求其承担违约责任的权利。</w:t>
      </w:r>
    </w:p>
    <w:p>
      <w:pPr>
        <w:ind w:left="24" w:firstLine="417"/>
        <w:rPr>
          <w:rFonts w:asciiTheme="minorEastAsia" w:hAnsiTheme="minorEastAsia" w:eastAsiaTheme="minorEastAsia" w:cstheme="minorEastAsia"/>
          <w:color w:val="auto"/>
          <w:highlight w:val="none"/>
        </w:rPr>
      </w:pPr>
    </w:p>
    <w:p>
      <w:pPr>
        <w:numPr>
          <w:ilvl w:val="0"/>
          <w:numId w:val="7"/>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由乙方承担货物毁损、灭失风险的，如货物毁损或灭失的，乙方应于15天内重新提供符合合同规定的货物，否则，视为乙方逾期交货。</w:t>
      </w:r>
    </w:p>
    <w:p>
      <w:pPr>
        <w:ind w:left="23" w:firstLine="414"/>
        <w:rPr>
          <w:rFonts w:asciiTheme="minorEastAsia" w:hAnsiTheme="minorEastAsia" w:eastAsiaTheme="minorEastAsia" w:cstheme="minorEastAsia"/>
          <w:color w:val="auto"/>
          <w:highlight w:val="none"/>
        </w:rPr>
      </w:pPr>
    </w:p>
    <w:p>
      <w:pPr>
        <w:numPr>
          <w:ilvl w:val="0"/>
          <w:numId w:val="7"/>
        </w:num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由甲方承担货物毁损、灭失风险的，则甲方不能免除给付货款的义务。</w:t>
      </w:r>
    </w:p>
    <w:p>
      <w:pPr>
        <w:ind w:left="444"/>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83" w:name="_Toc31721"/>
      <w:r>
        <w:rPr>
          <w:rFonts w:hint="eastAsia" w:asciiTheme="minorEastAsia" w:hAnsiTheme="minorEastAsia" w:eastAsiaTheme="minorEastAsia" w:cstheme="minorEastAsia"/>
          <w:color w:val="auto"/>
          <w:highlight w:val="none"/>
        </w:rPr>
        <w:t>第十条 不可抗力造成后果的处理</w:t>
      </w:r>
      <w:bookmarkEnd w:id="583"/>
    </w:p>
    <w:p>
      <w:pPr>
        <w:rPr>
          <w:rFonts w:asciiTheme="minorEastAsia" w:hAnsiTheme="minorEastAsia" w:eastAsiaTheme="minorEastAsia" w:cstheme="minorEastAsia"/>
          <w:color w:val="auto"/>
          <w:highlight w:val="none"/>
        </w:rPr>
      </w:pPr>
      <w:bookmarkStart w:id="584" w:name="_Toc6565"/>
      <w:r>
        <w:rPr>
          <w:rFonts w:hint="eastAsia" w:asciiTheme="minorEastAsia" w:hAnsiTheme="minorEastAsia" w:eastAsiaTheme="minorEastAsia" w:cstheme="minorEastAsia"/>
          <w:color w:val="auto"/>
          <w:highlight w:val="none"/>
        </w:rPr>
        <w:t>1. 如果甲乙双方中任何一方遭遇法律规定的不可抗力致使合同履行受阻时，履行合同的</w:t>
      </w:r>
      <w:bookmarkEnd w:id="584"/>
      <w:bookmarkStart w:id="585" w:name="_Toc13306"/>
      <w:r>
        <w:rPr>
          <w:rFonts w:hint="eastAsia" w:asciiTheme="minorEastAsia" w:hAnsiTheme="minorEastAsia" w:eastAsiaTheme="minorEastAsia" w:cstheme="minorEastAsia"/>
          <w:color w:val="auto"/>
          <w:highlight w:val="none"/>
        </w:rPr>
        <w:t>期限应予延长，延长期限应相当于不可抗力所影响的时间。</w:t>
      </w:r>
      <w:bookmarkEnd w:id="585"/>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86" w:name="_Toc19597"/>
      <w:r>
        <w:rPr>
          <w:rFonts w:hint="eastAsia" w:asciiTheme="minorEastAsia" w:hAnsiTheme="minorEastAsia" w:eastAsiaTheme="minorEastAsia" w:cstheme="minorEastAsia"/>
          <w:color w:val="auto"/>
          <w:highlight w:val="none"/>
        </w:rPr>
        <w:t>2. 受事故影响的一方应在不可抗力的事故发生后尽快书面形式通知另一方，并在事故</w:t>
      </w:r>
      <w:bookmarkEnd w:id="586"/>
      <w:bookmarkStart w:id="587" w:name="_Toc17812"/>
      <w:r>
        <w:rPr>
          <w:rFonts w:hint="eastAsia" w:asciiTheme="minorEastAsia" w:hAnsiTheme="minorEastAsia" w:eastAsiaTheme="minorEastAsia" w:cstheme="minorEastAsia"/>
          <w:color w:val="auto"/>
          <w:highlight w:val="none"/>
        </w:rPr>
        <w:t>发生 14 个工作日内，将有关部门出具的证明文件送达另一方。</w:t>
      </w:r>
      <w:bookmarkEnd w:id="587"/>
    </w:p>
    <w:p>
      <w:pPr>
        <w:rPr>
          <w:rFonts w:asciiTheme="minorEastAsia" w:hAnsiTheme="minorEastAsia" w:eastAsiaTheme="minorEastAsia" w:cstheme="minorEastAsia"/>
          <w:color w:val="auto"/>
          <w:highlight w:val="none"/>
        </w:rPr>
      </w:pPr>
    </w:p>
    <w:p>
      <w:pPr>
        <w:numPr>
          <w:ilvl w:val="0"/>
          <w:numId w:val="8"/>
        </w:numPr>
        <w:rPr>
          <w:rFonts w:asciiTheme="minorEastAsia" w:hAnsiTheme="minorEastAsia" w:eastAsiaTheme="minorEastAsia" w:cstheme="minorEastAsia"/>
          <w:color w:val="auto"/>
          <w:highlight w:val="none"/>
        </w:rPr>
      </w:pPr>
      <w:bookmarkStart w:id="588" w:name="_Toc26092"/>
      <w:r>
        <w:rPr>
          <w:rFonts w:hint="eastAsia" w:asciiTheme="minorEastAsia" w:hAnsiTheme="minorEastAsia" w:eastAsiaTheme="minorEastAsia" w:cstheme="minorEastAsia"/>
          <w:color w:val="auto"/>
          <w:highlight w:val="none"/>
        </w:rPr>
        <w:t>不可抗力使合同的某些内容有变更必要的，双方应通过协商在7个工作日内达</w:t>
      </w:r>
      <w:bookmarkEnd w:id="588"/>
      <w:r>
        <w:rPr>
          <w:rFonts w:hint="eastAsia" w:asciiTheme="minorEastAsia" w:hAnsiTheme="minorEastAsia" w:eastAsiaTheme="minorEastAsia" w:cstheme="minorEastAsia"/>
          <w:color w:val="auto"/>
          <w:highlight w:val="none"/>
        </w:rPr>
        <w:t>成进一步履行合同的协议，因不可抗力致使合同不能履行的，合同终止。</w:t>
      </w:r>
    </w:p>
    <w:p>
      <w:pPr>
        <w:ind w:left="23"/>
        <w:rPr>
          <w:rFonts w:asciiTheme="minorEastAsia" w:hAnsiTheme="minorEastAsia" w:eastAsiaTheme="minorEastAsia" w:cstheme="minorEastAsia"/>
          <w:color w:val="auto"/>
          <w:highlight w:val="none"/>
        </w:rPr>
      </w:pPr>
    </w:p>
    <w:p>
      <w:pPr>
        <w:numPr>
          <w:ilvl w:val="0"/>
          <w:numId w:val="9"/>
        </w:numPr>
        <w:rPr>
          <w:rFonts w:asciiTheme="minorEastAsia" w:hAnsiTheme="minorEastAsia" w:eastAsiaTheme="minorEastAsia" w:cstheme="minorEastAsia"/>
          <w:color w:val="auto"/>
          <w:highlight w:val="none"/>
        </w:rPr>
      </w:pPr>
      <w:bookmarkStart w:id="589" w:name="_Toc10125"/>
      <w:r>
        <w:rPr>
          <w:rFonts w:hint="eastAsia" w:asciiTheme="minorEastAsia" w:hAnsiTheme="minorEastAsia" w:eastAsiaTheme="minorEastAsia" w:cstheme="minorEastAsia"/>
          <w:color w:val="auto"/>
          <w:highlight w:val="none"/>
        </w:rPr>
        <w:t>适用法律和争议解决</w:t>
      </w:r>
      <w:bookmarkEnd w:id="589"/>
    </w:p>
    <w:p>
      <w:pPr>
        <w:ind w:left="442"/>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90" w:name="_Toc27612"/>
      <w:r>
        <w:rPr>
          <w:rFonts w:hint="eastAsia" w:asciiTheme="minorEastAsia" w:hAnsiTheme="minorEastAsia" w:eastAsiaTheme="minorEastAsia" w:cstheme="minorEastAsia"/>
          <w:color w:val="auto"/>
          <w:highlight w:val="none"/>
        </w:rPr>
        <w:t>本合同适用并按中华人民共和国法律。双方因履行本合同而发生的争议，应协商、调解</w:t>
      </w:r>
      <w:bookmarkEnd w:id="590"/>
      <w:bookmarkStart w:id="591" w:name="_Toc28622"/>
      <w:r>
        <w:rPr>
          <w:rFonts w:hint="eastAsia" w:asciiTheme="minorEastAsia" w:hAnsiTheme="minorEastAsia" w:eastAsiaTheme="minorEastAsia" w:cstheme="minorEastAsia"/>
          <w:color w:val="auto"/>
          <w:highlight w:val="none"/>
        </w:rPr>
        <w:t>解决。协商、调解不成的，双方可依照下列第</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种方式解决：</w:t>
      </w:r>
      <w:bookmarkEnd w:id="591"/>
    </w:p>
    <w:p>
      <w:pPr>
        <w:rPr>
          <w:rFonts w:asciiTheme="minorEastAsia" w:hAnsiTheme="minorEastAsia" w:eastAsiaTheme="minorEastAsia" w:cstheme="minorEastAsia"/>
          <w:color w:val="auto"/>
          <w:highlight w:val="none"/>
        </w:rPr>
      </w:pPr>
    </w:p>
    <w:p>
      <w:pPr>
        <w:numPr>
          <w:ilvl w:val="0"/>
          <w:numId w:val="10"/>
        </w:numPr>
        <w:rPr>
          <w:rFonts w:asciiTheme="minorEastAsia" w:hAnsiTheme="minorEastAsia" w:eastAsiaTheme="minorEastAsia" w:cstheme="minorEastAsia"/>
          <w:color w:val="auto"/>
          <w:highlight w:val="none"/>
        </w:rPr>
      </w:pPr>
      <w:bookmarkStart w:id="592" w:name="_Toc27659"/>
      <w:r>
        <w:rPr>
          <w:rFonts w:hint="eastAsia" w:asciiTheme="minorEastAsia" w:hAnsiTheme="minorEastAsia" w:eastAsiaTheme="minorEastAsia" w:cstheme="minorEastAsia"/>
          <w:color w:val="auto"/>
          <w:highlight w:val="none"/>
        </w:rPr>
        <w:t>向甲方所在地人民法院提起诉讼。</w:t>
      </w:r>
      <w:bookmarkEnd w:id="592"/>
    </w:p>
    <w:p>
      <w:pPr>
        <w:ind w:left="458"/>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93" w:name="_Toc12042"/>
      <w:r>
        <w:rPr>
          <w:rFonts w:hint="eastAsia" w:asciiTheme="minorEastAsia" w:hAnsiTheme="minorEastAsia" w:eastAsiaTheme="minorEastAsia" w:cstheme="minorEastAsia"/>
          <w:color w:val="auto"/>
          <w:highlight w:val="none"/>
        </w:rPr>
        <w:t xml:space="preserve">第十二条 </w:t>
      </w:r>
      <w:bookmarkEnd w:id="593"/>
      <w:bookmarkStart w:id="594" w:name="_Toc3865"/>
      <w:r>
        <w:rPr>
          <w:rFonts w:hint="eastAsia" w:asciiTheme="minorEastAsia" w:hAnsiTheme="minorEastAsia" w:eastAsiaTheme="minorEastAsia" w:cstheme="minorEastAsia"/>
          <w:color w:val="auto"/>
          <w:highlight w:val="none"/>
        </w:rPr>
        <w:t xml:space="preserve"> 其他</w:t>
      </w:r>
      <w:bookmarkEnd w:id="594"/>
    </w:p>
    <w:p>
      <w:pPr>
        <w:rPr>
          <w:rFonts w:asciiTheme="minorEastAsia" w:hAnsiTheme="minorEastAsia" w:eastAsiaTheme="minorEastAsia" w:cstheme="minorEastAsia"/>
          <w:color w:val="auto"/>
          <w:highlight w:val="none"/>
        </w:rPr>
      </w:pPr>
      <w:bookmarkStart w:id="595" w:name="_Toc17204"/>
      <w:r>
        <w:rPr>
          <w:rFonts w:hint="eastAsia" w:asciiTheme="minorEastAsia" w:hAnsiTheme="minorEastAsia" w:eastAsiaTheme="minorEastAsia" w:cstheme="minorEastAsia"/>
          <w:color w:val="auto"/>
          <w:highlight w:val="none"/>
        </w:rPr>
        <w:t>1. 本合同的实质性条款应当与招标 (采购) 文件和乙方投标 (应答) 文件</w:t>
      </w:r>
      <w:bookmarkEnd w:id="595"/>
      <w:bookmarkStart w:id="596" w:name="_Toc31674"/>
      <w:r>
        <w:rPr>
          <w:rFonts w:hint="eastAsia" w:asciiTheme="minorEastAsia" w:hAnsiTheme="minorEastAsia" w:eastAsiaTheme="minorEastAsia" w:cstheme="minorEastAsia"/>
          <w:color w:val="auto"/>
          <w:highlight w:val="none"/>
        </w:rPr>
        <w:t>内容一致，其他条款如有抵触之处，以本合同为准。</w:t>
      </w:r>
      <w:bookmarkEnd w:id="596"/>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597" w:name="_Toc7832"/>
      <w:r>
        <w:rPr>
          <w:rFonts w:hint="eastAsia" w:asciiTheme="minorEastAsia" w:hAnsiTheme="minorEastAsia" w:eastAsiaTheme="minorEastAsia" w:cstheme="minorEastAsia"/>
          <w:color w:val="auto"/>
          <w:highlight w:val="none"/>
        </w:rPr>
        <w:t>下列文件均为本合同的组成部分：</w:t>
      </w:r>
      <w:bookmarkEnd w:id="597"/>
    </w:p>
    <w:p>
      <w:pPr>
        <w:rPr>
          <w:rFonts w:asciiTheme="minorEastAsia" w:hAnsiTheme="minorEastAsia" w:eastAsiaTheme="minorEastAsia" w:cstheme="minorEastAsia"/>
          <w:color w:val="auto"/>
          <w:highlight w:val="none"/>
        </w:rPr>
      </w:pPr>
      <w:bookmarkStart w:id="598" w:name="_Toc12259"/>
      <w:r>
        <w:rPr>
          <w:rFonts w:hint="eastAsia" w:asciiTheme="minorEastAsia" w:hAnsiTheme="minorEastAsia" w:eastAsiaTheme="minorEastAsia" w:cstheme="minorEastAsia"/>
          <w:color w:val="auto"/>
          <w:highlight w:val="none"/>
        </w:rPr>
        <w:t>(1) 招标 (采购) 文件、答疑及补充通知；</w:t>
      </w:r>
      <w:bookmarkEnd w:id="598"/>
    </w:p>
    <w:p>
      <w:pPr>
        <w:rPr>
          <w:rFonts w:asciiTheme="minorEastAsia" w:hAnsiTheme="minorEastAsia" w:eastAsiaTheme="minorEastAsia" w:cstheme="minorEastAsia"/>
          <w:color w:val="auto"/>
          <w:highlight w:val="none"/>
        </w:rPr>
      </w:pPr>
      <w:bookmarkStart w:id="599" w:name="_Toc12479"/>
      <w:r>
        <w:rPr>
          <w:rFonts w:hint="eastAsia" w:asciiTheme="minorEastAsia" w:hAnsiTheme="minorEastAsia" w:eastAsiaTheme="minorEastAsia" w:cstheme="minorEastAsia"/>
          <w:color w:val="auto"/>
          <w:highlight w:val="none"/>
        </w:rPr>
        <w:t>(2) 投标 (应答) 文件；</w:t>
      </w:r>
      <w:bookmarkEnd w:id="599"/>
    </w:p>
    <w:p>
      <w:pPr>
        <w:rPr>
          <w:rFonts w:asciiTheme="minorEastAsia" w:hAnsiTheme="minorEastAsia" w:eastAsiaTheme="minorEastAsia" w:cstheme="minorEastAsia"/>
          <w:color w:val="auto"/>
          <w:highlight w:val="none"/>
        </w:rPr>
      </w:pPr>
      <w:bookmarkStart w:id="600" w:name="_Toc26783"/>
      <w:r>
        <w:rPr>
          <w:rFonts w:hint="eastAsia" w:asciiTheme="minorEastAsia" w:hAnsiTheme="minorEastAsia" w:eastAsiaTheme="minorEastAsia" w:cstheme="minorEastAsia"/>
          <w:color w:val="auto"/>
          <w:highlight w:val="none"/>
        </w:rPr>
        <w:t>(3) 本合同执行中共同签署的补充与修正文件。</w:t>
      </w:r>
      <w:bookmarkEnd w:id="600"/>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601" w:name="_Toc18321"/>
      <w:r>
        <w:rPr>
          <w:rFonts w:hint="eastAsia" w:asciiTheme="minorEastAsia" w:hAnsiTheme="minorEastAsia" w:eastAsiaTheme="minorEastAsia" w:cstheme="minorEastAsia"/>
          <w:color w:val="auto"/>
          <w:highlight w:val="none"/>
        </w:rPr>
        <w:t>3. 本合同一式三份 (甲方执2份；乙方执1份) ，均为正本，具有同等法律效力。本合</w:t>
      </w:r>
      <w:bookmarkEnd w:id="601"/>
      <w:bookmarkStart w:id="602" w:name="_Toc13622"/>
      <w:r>
        <w:rPr>
          <w:rFonts w:hint="eastAsia" w:asciiTheme="minorEastAsia" w:hAnsiTheme="minorEastAsia" w:eastAsiaTheme="minorEastAsia" w:cstheme="minorEastAsia"/>
          <w:color w:val="auto"/>
          <w:highlight w:val="none"/>
        </w:rPr>
        <w:t>同自双方法定代表人或授权委托人签字并加盖双方的公章之日起生效。</w:t>
      </w:r>
      <w:bookmarkEnd w:id="602"/>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本合同未尽事宜，双方友好协商，达成解决方案，经双方签字后，可作为本合同的有效附件。</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【以下无正文】</w:t>
      </w:r>
    </w:p>
    <w:p>
      <w:pPr>
        <w:rPr>
          <w:rFonts w:asciiTheme="minorEastAsia" w:hAnsiTheme="minorEastAsia" w:eastAsiaTheme="minorEastAsia" w:cstheme="minorEastAsia"/>
          <w:color w:val="auto"/>
          <w:highlight w:val="none"/>
        </w:rPr>
        <w:sectPr>
          <w:headerReference r:id="rId12" w:type="default"/>
          <w:footerReference r:id="rId13" w:type="default"/>
          <w:pgSz w:w="11906" w:h="16839"/>
          <w:pgMar w:top="1118" w:right="1785" w:bottom="1458" w:left="1785" w:header="878" w:footer="1298" w:gutter="0"/>
          <w:cols w:space="720" w:num="1"/>
        </w:sect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【签署页】</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甲方 (盖章) ：</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法定代表人/授权委托人 (签字) ：</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项目负责人 (签字) ：</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项目承办人 (签字) ：</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     年  月  日</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乙方 (盖章) ：</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法定代表人/授权委托人 (签字) ：</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项目负责人 (签字) ：</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项目承办人 (签字) ：</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日期：     年  月  日</w:t>
      </w:r>
    </w:p>
    <w:p>
      <w:pPr>
        <w:rPr>
          <w:rFonts w:asciiTheme="minorEastAsia" w:hAnsiTheme="minorEastAsia" w:eastAsiaTheme="minorEastAsia" w:cstheme="minorEastAsia"/>
          <w:color w:val="auto"/>
          <w:highlight w:val="none"/>
        </w:rPr>
        <w:sectPr>
          <w:footerReference r:id="rId14" w:type="default"/>
          <w:pgSz w:w="11906" w:h="16839"/>
          <w:pgMar w:top="1118" w:right="1785" w:bottom="1458" w:left="1785" w:header="878" w:footer="1298" w:gutter="0"/>
          <w:cols w:space="720" w:num="1"/>
        </w:sectPr>
      </w:pP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w:t>
      </w:r>
    </w:p>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配置清单及技术参数</w:t>
      </w:r>
    </w:p>
    <w:p>
      <w:pPr>
        <w:rPr>
          <w:rFonts w:asciiTheme="minorEastAsia" w:hAnsiTheme="minorEastAsia" w:eastAsiaTheme="minorEastAsia" w:cstheme="minorEastAsia"/>
          <w:color w:val="auto"/>
          <w:highlight w:val="none"/>
        </w:rPr>
      </w:pPr>
    </w:p>
    <w:tbl>
      <w:tblPr>
        <w:tblStyle w:val="28"/>
        <w:tblW w:w="7996" w:type="dxa"/>
        <w:tblInd w:w="16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1"/>
        <w:gridCol w:w="1274"/>
        <w:gridCol w:w="1417"/>
        <w:gridCol w:w="1558"/>
        <w:gridCol w:w="991"/>
        <w:gridCol w:w="20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741"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序号</w:t>
            </w:r>
          </w:p>
        </w:tc>
        <w:tc>
          <w:tcPr>
            <w:tcW w:w="1274"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货物名称</w:t>
            </w:r>
          </w:p>
        </w:tc>
        <w:tc>
          <w:tcPr>
            <w:tcW w:w="1417"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型号规格</w:t>
            </w:r>
          </w:p>
        </w:tc>
        <w:tc>
          <w:tcPr>
            <w:tcW w:w="1558"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厂家及产地</w:t>
            </w:r>
          </w:p>
        </w:tc>
        <w:tc>
          <w:tcPr>
            <w:tcW w:w="991"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数量</w:t>
            </w:r>
          </w:p>
        </w:tc>
        <w:tc>
          <w:tcPr>
            <w:tcW w:w="2015"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技术参数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41"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tc>
        <w:tc>
          <w:tcPr>
            <w:tcW w:w="1274" w:type="dxa"/>
          </w:tcPr>
          <w:p>
            <w:pPr>
              <w:rPr>
                <w:rFonts w:asciiTheme="minorEastAsia" w:hAnsiTheme="minorEastAsia" w:eastAsiaTheme="minorEastAsia" w:cstheme="minorEastAsia"/>
                <w:color w:val="auto"/>
                <w:highlight w:val="none"/>
              </w:rPr>
            </w:pPr>
          </w:p>
        </w:tc>
        <w:tc>
          <w:tcPr>
            <w:tcW w:w="1417" w:type="dxa"/>
          </w:tcPr>
          <w:p>
            <w:pPr>
              <w:rPr>
                <w:rFonts w:asciiTheme="minorEastAsia" w:hAnsiTheme="minorEastAsia" w:eastAsiaTheme="minorEastAsia" w:cstheme="minorEastAsia"/>
                <w:color w:val="auto"/>
                <w:highlight w:val="none"/>
              </w:rPr>
            </w:pPr>
          </w:p>
        </w:tc>
        <w:tc>
          <w:tcPr>
            <w:tcW w:w="1558" w:type="dxa"/>
          </w:tcPr>
          <w:p>
            <w:pPr>
              <w:rPr>
                <w:rFonts w:asciiTheme="minorEastAsia" w:hAnsiTheme="minorEastAsia" w:eastAsiaTheme="minorEastAsia" w:cstheme="minorEastAsia"/>
                <w:color w:val="auto"/>
                <w:highlight w:val="none"/>
              </w:rPr>
            </w:pPr>
          </w:p>
        </w:tc>
        <w:tc>
          <w:tcPr>
            <w:tcW w:w="991" w:type="dxa"/>
          </w:tcPr>
          <w:p>
            <w:pPr>
              <w:rPr>
                <w:rFonts w:asciiTheme="minorEastAsia" w:hAnsiTheme="minorEastAsia" w:eastAsiaTheme="minorEastAsia" w:cstheme="minorEastAsia"/>
                <w:color w:val="auto"/>
                <w:highlight w:val="none"/>
              </w:rPr>
            </w:pPr>
          </w:p>
        </w:tc>
        <w:tc>
          <w:tcPr>
            <w:tcW w:w="2015" w:type="dxa"/>
          </w:tcPr>
          <w:p>
            <w:pPr>
              <w:rPr>
                <w:rFonts w:asciiTheme="minorEastAsia" w:hAnsiTheme="minorEastAsia" w:eastAsiaTheme="minorEastAsia" w:cstheme="minor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41"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p>
        </w:tc>
        <w:tc>
          <w:tcPr>
            <w:tcW w:w="1274" w:type="dxa"/>
          </w:tcPr>
          <w:p>
            <w:pPr>
              <w:rPr>
                <w:rFonts w:asciiTheme="minorEastAsia" w:hAnsiTheme="minorEastAsia" w:eastAsiaTheme="minorEastAsia" w:cstheme="minorEastAsia"/>
                <w:color w:val="auto"/>
                <w:highlight w:val="none"/>
              </w:rPr>
            </w:pPr>
          </w:p>
        </w:tc>
        <w:tc>
          <w:tcPr>
            <w:tcW w:w="1417" w:type="dxa"/>
          </w:tcPr>
          <w:p>
            <w:pPr>
              <w:rPr>
                <w:rFonts w:asciiTheme="minorEastAsia" w:hAnsiTheme="minorEastAsia" w:eastAsiaTheme="minorEastAsia" w:cstheme="minorEastAsia"/>
                <w:color w:val="auto"/>
                <w:highlight w:val="none"/>
              </w:rPr>
            </w:pPr>
          </w:p>
        </w:tc>
        <w:tc>
          <w:tcPr>
            <w:tcW w:w="1558" w:type="dxa"/>
          </w:tcPr>
          <w:p>
            <w:pPr>
              <w:rPr>
                <w:rFonts w:asciiTheme="minorEastAsia" w:hAnsiTheme="minorEastAsia" w:eastAsiaTheme="minorEastAsia" w:cstheme="minorEastAsia"/>
                <w:color w:val="auto"/>
                <w:highlight w:val="none"/>
              </w:rPr>
            </w:pPr>
          </w:p>
        </w:tc>
        <w:tc>
          <w:tcPr>
            <w:tcW w:w="991" w:type="dxa"/>
          </w:tcPr>
          <w:p>
            <w:pPr>
              <w:rPr>
                <w:rFonts w:asciiTheme="minorEastAsia" w:hAnsiTheme="minorEastAsia" w:eastAsiaTheme="minorEastAsia" w:cstheme="minorEastAsia"/>
                <w:color w:val="auto"/>
                <w:highlight w:val="none"/>
              </w:rPr>
            </w:pPr>
          </w:p>
        </w:tc>
        <w:tc>
          <w:tcPr>
            <w:tcW w:w="2015" w:type="dxa"/>
          </w:tcPr>
          <w:p>
            <w:pPr>
              <w:rPr>
                <w:rFonts w:asciiTheme="minorEastAsia" w:hAnsiTheme="minorEastAsia" w:eastAsiaTheme="minorEastAsia" w:cstheme="minorEastAsia"/>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trPr>
        <w:tc>
          <w:tcPr>
            <w:tcW w:w="741" w:type="dxa"/>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1274" w:type="dxa"/>
          </w:tcPr>
          <w:p>
            <w:pPr>
              <w:rPr>
                <w:rFonts w:asciiTheme="minorEastAsia" w:hAnsiTheme="minorEastAsia" w:eastAsiaTheme="minorEastAsia" w:cstheme="minorEastAsia"/>
                <w:color w:val="auto"/>
                <w:highlight w:val="none"/>
              </w:rPr>
            </w:pPr>
          </w:p>
        </w:tc>
        <w:tc>
          <w:tcPr>
            <w:tcW w:w="1417" w:type="dxa"/>
          </w:tcPr>
          <w:p>
            <w:pPr>
              <w:rPr>
                <w:rFonts w:asciiTheme="minorEastAsia" w:hAnsiTheme="minorEastAsia" w:eastAsiaTheme="minorEastAsia" w:cstheme="minorEastAsia"/>
                <w:color w:val="auto"/>
                <w:highlight w:val="none"/>
              </w:rPr>
            </w:pPr>
          </w:p>
        </w:tc>
        <w:tc>
          <w:tcPr>
            <w:tcW w:w="1558" w:type="dxa"/>
          </w:tcPr>
          <w:p>
            <w:pPr>
              <w:rPr>
                <w:rFonts w:asciiTheme="minorEastAsia" w:hAnsiTheme="minorEastAsia" w:eastAsiaTheme="minorEastAsia" w:cstheme="minorEastAsia"/>
                <w:color w:val="auto"/>
                <w:highlight w:val="none"/>
              </w:rPr>
            </w:pPr>
          </w:p>
        </w:tc>
        <w:tc>
          <w:tcPr>
            <w:tcW w:w="991" w:type="dxa"/>
          </w:tcPr>
          <w:p>
            <w:pPr>
              <w:rPr>
                <w:rFonts w:asciiTheme="minorEastAsia" w:hAnsiTheme="minorEastAsia" w:eastAsiaTheme="minorEastAsia" w:cstheme="minorEastAsia"/>
                <w:color w:val="auto"/>
                <w:highlight w:val="none"/>
              </w:rPr>
            </w:pPr>
          </w:p>
        </w:tc>
        <w:tc>
          <w:tcPr>
            <w:tcW w:w="2015" w:type="dxa"/>
          </w:tcPr>
          <w:p>
            <w:pPr>
              <w:rPr>
                <w:rFonts w:asciiTheme="minorEastAsia" w:hAnsiTheme="minorEastAsia" w:eastAsiaTheme="minorEastAsia" w:cstheme="minorEastAsia"/>
                <w:color w:val="auto"/>
                <w:highlight w:val="none"/>
              </w:rPr>
            </w:pPr>
          </w:p>
        </w:tc>
      </w:tr>
    </w:tbl>
    <w:p>
      <w:pP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(内容必须与招投标 (应答) 文件一致，表格格式可按需修改。)</w:t>
      </w: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603" w:name="_bookmark88"/>
      <w:bookmarkEnd w:id="603"/>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bookmarkStart w:id="604" w:name="_GoBack"/>
      <w:bookmarkEnd w:id="604"/>
    </w:p>
    <w:p>
      <w:pPr>
        <w:rPr>
          <w:rFonts w:asciiTheme="minorEastAsia" w:hAnsiTheme="minorEastAsia" w:eastAsiaTheme="minorEastAsia" w:cstheme="minorEastAsia"/>
          <w:color w:val="auto"/>
          <w:highlight w:val="none"/>
        </w:rPr>
      </w:pPr>
    </w:p>
    <w:p>
      <w:pPr>
        <w:jc w:val="left"/>
        <w:rPr>
          <w:rFonts w:asciiTheme="minorEastAsia" w:hAnsiTheme="minorEastAsia" w:eastAsiaTheme="minorEastAsia" w:cstheme="minorEastAsia"/>
          <w:color w:val="auto"/>
          <w:highlight w:val="none"/>
        </w:rPr>
      </w:pPr>
    </w:p>
    <w:sectPr>
      <w:pgSz w:w="11906" w:h="16838"/>
      <w:pgMar w:top="1418" w:right="1418" w:bottom="1418" w:left="1418" w:header="851" w:footer="992" w:gutter="170"/>
      <w:cols w:space="720"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E956EBA-8D2B-47BF-BFF9-2CFD71B5E915}"/>
  </w:font>
  <w:font w:name="黑体">
    <w:panose1 w:val="02010609060101010101"/>
    <w:charset w:val="86"/>
    <w:family w:val="auto"/>
    <w:pitch w:val="default"/>
    <w:sig w:usb0="800002BF" w:usb1="38CF7CFA" w:usb2="00000016" w:usb3="00000000" w:csb0="00040001" w:csb1="00000000"/>
    <w:embedRegular r:id="rId2" w:fontKey="{6A58430D-DBCC-4E65-81A8-0B2C6B7FC6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embedRegular r:id="rId3" w:fontKey="{1BE0369D-1C1D-4055-9724-7D01A23393F3}"/>
  </w:font>
  <w:font w:name="楷体">
    <w:panose1 w:val="02010609060101010101"/>
    <w:charset w:val="86"/>
    <w:family w:val="modern"/>
    <w:pitch w:val="default"/>
    <w:sig w:usb0="800002BF" w:usb1="38CF7CFA" w:usb2="00000016" w:usb3="00000000" w:csb0="00040001" w:csb1="00000000"/>
    <w:embedRegular r:id="rId4" w:fontKey="{6C508691-85C1-4216-8E6D-4DDD70117E8F}"/>
  </w:font>
  <w:font w:name="Wingdings 2">
    <w:panose1 w:val="05020102010507070707"/>
    <w:charset w:val="02"/>
    <w:family w:val="roman"/>
    <w:pitch w:val="default"/>
    <w:sig w:usb0="00000000" w:usb1="00000000" w:usb2="00000000" w:usb3="00000000" w:csb0="80000000" w:csb1="00000000"/>
    <w:embedRegular r:id="rId5" w:fontKey="{139D44DA-1B4A-4C3B-BEDD-B601557CC09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873904"/>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28"/>
      <w:rPr>
        <w:rFonts w:eastAsia="Times New Roman"/>
        <w:sz w:val="17"/>
        <w:szCs w:val="17"/>
      </w:rPr>
    </w:pPr>
    <w:r>
      <w:rPr>
        <w:rFonts w:eastAsia="Times New Roman"/>
        <w:sz w:val="17"/>
        <w:szCs w:val="17"/>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262"/>
      <w:rPr>
        <w:rFonts w:eastAsia="Times New Roman"/>
        <w:sz w:val="17"/>
        <w:szCs w:val="17"/>
      </w:rPr>
    </w:pPr>
    <w:r>
      <w:rPr>
        <w:rFonts w:eastAsia="Times New Roman"/>
        <w:sz w:val="17"/>
        <w:szCs w:val="17"/>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8"/>
      <w:rPr>
        <w:rFonts w:eastAsia="Times New Roman"/>
        <w:sz w:val="17"/>
        <w:szCs w:val="17"/>
      </w:rPr>
    </w:pPr>
    <w:r>
      <w:rPr>
        <w:rFonts w:eastAsia="Times New Roman"/>
        <w:spacing w:val="-5"/>
        <w:sz w:val="17"/>
        <w:szCs w:val="17"/>
      </w:rPr>
      <w:t>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8"/>
      <w:rPr>
        <w:rFonts w:eastAsia="Times New Roman"/>
        <w:sz w:val="17"/>
        <w:szCs w:val="17"/>
      </w:rPr>
    </w:pPr>
    <w:r>
      <w:rPr>
        <w:rFonts w:eastAsia="Times New Roman"/>
        <w:spacing w:val="-5"/>
        <w:sz w:val="17"/>
        <w:szCs w:val="17"/>
      </w:rPr>
      <w:t>11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3" w:lineRule="auto"/>
      <w:ind w:left="7"/>
      <w:rPr>
        <w:rFonts w:eastAsia="Times New Roman"/>
        <w:sz w:val="17"/>
        <w:szCs w:val="17"/>
      </w:rPr>
    </w:pPr>
    <w:r>
      <mc:AlternateContent>
        <mc:Choice Requires="wps">
          <w:drawing>
            <wp:anchor distT="0" distB="0" distL="114300" distR="114300" simplePos="0" relativeHeight="251667456" behindDoc="0" locked="0" layoutInCell="0" allowOverlap="1">
              <wp:simplePos x="0" y="0"/>
              <wp:positionH relativeFrom="page">
                <wp:posOffset>1080135</wp:posOffset>
              </wp:positionH>
              <wp:positionV relativeFrom="page">
                <wp:posOffset>701040</wp:posOffset>
              </wp:positionV>
              <wp:extent cx="5400675" cy="9525"/>
              <wp:effectExtent l="0" t="0" r="0" b="0"/>
              <wp:wrapNone/>
              <wp:docPr id="8" name="任意多边形 1"/>
              <wp:cNvGraphicFramePr/>
              <a:graphic xmlns:a="http://schemas.openxmlformats.org/drawingml/2006/main">
                <a:graphicData uri="http://schemas.microsoft.com/office/word/2010/wordprocessingShape">
                  <wps:wsp>
                    <wps:cNvSpPr/>
                    <wps:spPr>
                      <a:xfrm>
                        <a:off x="0" y="0"/>
                        <a:ext cx="5400675" cy="9525"/>
                      </a:xfrm>
                      <a:custGeom>
                        <a:avLst/>
                        <a:gdLst/>
                        <a:ahLst/>
                        <a:cxnLst/>
                        <a:pathLst>
                          <a:path w="8505" h="15">
                            <a:moveTo>
                              <a:pt x="0" y="0"/>
                            </a:moveTo>
                            <a:lnTo>
                              <a:pt x="8504" y="0"/>
                            </a:lnTo>
                            <a:lnTo>
                              <a:pt x="8504" y="14"/>
                            </a:lnTo>
                            <a:lnTo>
                              <a:pt x="0" y="14"/>
                            </a:lnTo>
                            <a:lnTo>
                              <a:pt x="0" y="0"/>
                            </a:lnTo>
                            <a:close/>
                          </a:path>
                        </a:pathLst>
                      </a:custGeom>
                      <a:solidFill>
                        <a:srgbClr val="000000"/>
                      </a:solidFill>
                      <a:ln>
                        <a:noFill/>
                      </a:ln>
                    </wps:spPr>
                    <wps:bodyPr upright="1"/>
                  </wps:wsp>
                </a:graphicData>
              </a:graphic>
            </wp:anchor>
          </w:drawing>
        </mc:Choice>
        <mc:Fallback>
          <w:pict>
            <v:shape id="任意多边形 1" o:spid="_x0000_s1026" o:spt="100" style="position:absolute;left:0pt;margin-left:85.05pt;margin-top:55.2pt;height:0.75pt;width:425.25pt;mso-position-horizontal-relative:page;mso-position-vertical-relative:page;z-index:251667456;mso-width-relative:page;mso-height-relative:page;" fillcolor="#000000" filled="t" stroked="f" coordsize="8505,15" o:allowincell="f" o:gfxdata="UEsDBAoAAAAAAIdO4kAAAAAAAAAAAAAAAAAEAAAAZHJzL1BLAwQUAAAACACHTuJA7akSmtkAAAAM&#10;AQAADwAAAGRycy9kb3ducmV2LnhtbE2PzU7DMBCE70i8g7VIXBC1XaBAiFOpiB5A4kD5OTvxkkSJ&#10;11HstuHt2ZzgtrM7mv0mX0++FwccYxvIgF4oEEhVcC3VBj7et5d3IGKy5GwfCA38YIR1cXqS28yF&#10;I73hYZdqwSEUM2ugSWnIpIxVg97GRRiQ+PYdRm8Ty7GWbrRHDve9XCq1kt62xB8aO+Bjg1W323sD&#10;V/biKU7b8Fyqm6573Wx09fL1acz5mVYPIBJO6c8MMz6jQ8FMZdiTi6Jnfas0W3nQ6hrE7FBLtQJR&#10;zit9D7LI5f8SxS9QSwMEFAAAAAgAh07iQHzVsD0SAgAAewQAAA4AAABkcnMvZTJvRG9jLnhtbK1U&#10;zY7TMBC+I/EOlu80adXwUzXdA9VyQbDSLg/gOk5jyfZYttu0d+7cOSJeAq3gaVjEYzB2krbbvfRA&#10;DvHY8+Wb+WbGmV/ttCJb4bwEU9LxKKdEGA6VNOuSfrq7fvGaEh+YqZgCI0q6F55eLZ4/m7d2JibQ&#10;gKqEI0hi/Ky1JW1CsLMs87wRmvkRWGHQWYPTLODWrbPKsRbZtcomef4ya8FV1gEX3uPpsnPSntFd&#10;Qgh1LblYAt9oYULH6oRiASX5RlpPFynbuhY8fKxrLwJRJUWlIb0xCNqr+M4WczZbO2YbyfsU2CUp&#10;nGnSTBoMeqBassDIxsknVFpyBx7qMOKgs05IqgiqGOdntbltmBVJC5ba20PR/f+j5R+2N47IqqTY&#10;dsM0Nvz3/f2fz18evn/9++vHw89vZByL1Fo/Q+ytvXH9zqMZFe9qp+OKWsguFXZ/KKzYBcLxsJhi&#10;418VlHD0vSkmRaTMjt/yjQ/vBCQetn3vQ9eWarBYM1h8ZwbTshCPY+xokhY1FDkGaXCsi9QNDVtx&#10;BwkRzpLD6EevMqcoZJlSMqhA4OAeVpvIDrDxtJcz+Ie1w+GoIddFoDSPJwG5Ai+6UkWJqWYH2Yg7&#10;rZsHJatrqVSU69169VY5smVx7tPT5/gIpkwEG4ifdWHiSRab3bU3Wiuo9jgjG+vkusELlOYhYXAm&#10;U0r9/YlDf7pPTMd/xuI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akSmtkAAAAMAQAADwAAAAAA&#10;AAABACAAAAAiAAAAZHJzL2Rvd25yZXYueG1sUEsBAhQAFAAAAAgAh07iQHzVsD0SAgAAewQAAA4A&#10;AAAAAAAAAQAgAAAAKAEAAGRycy9lMm9Eb2MueG1sUEsFBgAAAAAGAAYAWQEAAKwFAAAAAA==&#10;" path="m0,0l8504,0,8504,14,0,14,0,0xe">
              <v:fill on="t" focussize="0,0"/>
              <v:stroke on="f"/>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816A6"/>
    <w:multiLevelType w:val="singleLevel"/>
    <w:tmpl w:val="864816A6"/>
    <w:lvl w:ilvl="0" w:tentative="0">
      <w:start w:val="3"/>
      <w:numFmt w:val="decimal"/>
      <w:suff w:val="space"/>
      <w:lvlText w:val="%1."/>
      <w:lvlJc w:val="left"/>
    </w:lvl>
  </w:abstractNum>
  <w:abstractNum w:abstractNumId="1">
    <w:nsid w:val="8DBB142C"/>
    <w:multiLevelType w:val="singleLevel"/>
    <w:tmpl w:val="8DBB142C"/>
    <w:lvl w:ilvl="0" w:tentative="0">
      <w:start w:val="2"/>
      <w:numFmt w:val="decimal"/>
      <w:suff w:val="space"/>
      <w:lvlText w:val="%1."/>
      <w:lvlJc w:val="left"/>
    </w:lvl>
  </w:abstractNum>
  <w:abstractNum w:abstractNumId="2">
    <w:nsid w:val="949F64A3"/>
    <w:multiLevelType w:val="singleLevel"/>
    <w:tmpl w:val="949F64A3"/>
    <w:lvl w:ilvl="0" w:tentative="0">
      <w:start w:val="2"/>
      <w:numFmt w:val="decimal"/>
      <w:suff w:val="space"/>
      <w:lvlText w:val="%1."/>
      <w:lvlJc w:val="left"/>
    </w:lvl>
  </w:abstractNum>
  <w:abstractNum w:abstractNumId="3">
    <w:nsid w:val="AAC7E19C"/>
    <w:multiLevelType w:val="singleLevel"/>
    <w:tmpl w:val="AAC7E19C"/>
    <w:lvl w:ilvl="0" w:tentative="0">
      <w:start w:val="3"/>
      <w:numFmt w:val="decimal"/>
      <w:suff w:val="nothing"/>
      <w:lvlText w:val="%1．"/>
      <w:lvlJc w:val="left"/>
    </w:lvl>
  </w:abstractNum>
  <w:abstractNum w:abstractNumId="4">
    <w:nsid w:val="AD645C98"/>
    <w:multiLevelType w:val="singleLevel"/>
    <w:tmpl w:val="AD645C98"/>
    <w:lvl w:ilvl="0" w:tentative="0">
      <w:start w:val="2"/>
      <w:numFmt w:val="chineseCounting"/>
      <w:suff w:val="space"/>
      <w:lvlText w:val="第%1条"/>
      <w:lvlJc w:val="left"/>
      <w:rPr>
        <w:rFonts w:hint="eastAsia"/>
      </w:rPr>
    </w:lvl>
  </w:abstractNum>
  <w:abstractNum w:abstractNumId="5">
    <w:nsid w:val="E69FC279"/>
    <w:multiLevelType w:val="singleLevel"/>
    <w:tmpl w:val="E69FC279"/>
    <w:lvl w:ilvl="0" w:tentative="0">
      <w:start w:val="9"/>
      <w:numFmt w:val="decimal"/>
      <w:suff w:val="space"/>
      <w:lvlText w:val="%1."/>
      <w:lvlJc w:val="left"/>
    </w:lvl>
  </w:abstractNum>
  <w:abstractNum w:abstractNumId="6">
    <w:nsid w:val="FF625A58"/>
    <w:multiLevelType w:val="singleLevel"/>
    <w:tmpl w:val="FF625A58"/>
    <w:lvl w:ilvl="0" w:tentative="0">
      <w:start w:val="11"/>
      <w:numFmt w:val="chineseCounting"/>
      <w:suff w:val="space"/>
      <w:lvlText w:val="第%1条"/>
      <w:lvlJc w:val="left"/>
      <w:rPr>
        <w:rFonts w:hint="eastAsia"/>
      </w:rPr>
    </w:lvl>
  </w:abstractNum>
  <w:abstractNum w:abstractNumId="7">
    <w:nsid w:val="0260BE5A"/>
    <w:multiLevelType w:val="singleLevel"/>
    <w:tmpl w:val="0260BE5A"/>
    <w:lvl w:ilvl="0" w:tentative="0">
      <w:start w:val="4"/>
      <w:numFmt w:val="decimal"/>
      <w:suff w:val="space"/>
      <w:lvlText w:val="%1."/>
      <w:lvlJc w:val="left"/>
    </w:lvl>
  </w:abstractNum>
  <w:abstractNum w:abstractNumId="8">
    <w:nsid w:val="756DC88A"/>
    <w:multiLevelType w:val="singleLevel"/>
    <w:tmpl w:val="756DC88A"/>
    <w:lvl w:ilvl="0" w:tentative="0">
      <w:start w:val="2"/>
      <w:numFmt w:val="decimal"/>
      <w:suff w:val="space"/>
      <w:lvlText w:val="%1."/>
      <w:lvlJc w:val="left"/>
    </w:lvl>
  </w:abstractNum>
  <w:abstractNum w:abstractNumId="9">
    <w:nsid w:val="7C06C8B9"/>
    <w:multiLevelType w:val="singleLevel"/>
    <w:tmpl w:val="7C06C8B9"/>
    <w:lvl w:ilvl="0" w:tentative="0">
      <w:start w:val="1"/>
      <w:numFmt w:val="decimal"/>
      <w:suff w:val="space"/>
      <w:lvlText w:val="%1."/>
      <w:lvlJc w:val="left"/>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1"/>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463"/>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MWUzMTRmNDJmZjBmZjc1ZDdiZTY1YTg5MTU0YjAifQ=="/>
  </w:docVars>
  <w:rsids>
    <w:rsidRoot w:val="008E1ED6"/>
    <w:rsid w:val="000003EB"/>
    <w:rsid w:val="00000A66"/>
    <w:rsid w:val="00001A3E"/>
    <w:rsid w:val="00001DDA"/>
    <w:rsid w:val="00002444"/>
    <w:rsid w:val="00002837"/>
    <w:rsid w:val="00004376"/>
    <w:rsid w:val="000055BC"/>
    <w:rsid w:val="00006395"/>
    <w:rsid w:val="00006BBC"/>
    <w:rsid w:val="00006CF2"/>
    <w:rsid w:val="00007BC3"/>
    <w:rsid w:val="00010223"/>
    <w:rsid w:val="0001076F"/>
    <w:rsid w:val="00011100"/>
    <w:rsid w:val="00016E77"/>
    <w:rsid w:val="000201D2"/>
    <w:rsid w:val="00021483"/>
    <w:rsid w:val="000251EA"/>
    <w:rsid w:val="00025C53"/>
    <w:rsid w:val="000268D1"/>
    <w:rsid w:val="00030D5D"/>
    <w:rsid w:val="00030E0B"/>
    <w:rsid w:val="00032FF6"/>
    <w:rsid w:val="00035BCC"/>
    <w:rsid w:val="0003763F"/>
    <w:rsid w:val="00040A02"/>
    <w:rsid w:val="00042542"/>
    <w:rsid w:val="000455FF"/>
    <w:rsid w:val="000477E8"/>
    <w:rsid w:val="0005051D"/>
    <w:rsid w:val="00050AE6"/>
    <w:rsid w:val="000516F0"/>
    <w:rsid w:val="000530DB"/>
    <w:rsid w:val="000533CE"/>
    <w:rsid w:val="00054455"/>
    <w:rsid w:val="0005473E"/>
    <w:rsid w:val="000557C0"/>
    <w:rsid w:val="000601EA"/>
    <w:rsid w:val="00060A6E"/>
    <w:rsid w:val="00061335"/>
    <w:rsid w:val="00061695"/>
    <w:rsid w:val="00062341"/>
    <w:rsid w:val="00062504"/>
    <w:rsid w:val="000635D2"/>
    <w:rsid w:val="00064544"/>
    <w:rsid w:val="00064694"/>
    <w:rsid w:val="00064C89"/>
    <w:rsid w:val="00065044"/>
    <w:rsid w:val="000666D2"/>
    <w:rsid w:val="00066AB8"/>
    <w:rsid w:val="00067132"/>
    <w:rsid w:val="000737D7"/>
    <w:rsid w:val="00073C1B"/>
    <w:rsid w:val="00075713"/>
    <w:rsid w:val="00075741"/>
    <w:rsid w:val="00080D3C"/>
    <w:rsid w:val="0008357C"/>
    <w:rsid w:val="00086EFA"/>
    <w:rsid w:val="00090AD6"/>
    <w:rsid w:val="00091257"/>
    <w:rsid w:val="0009312A"/>
    <w:rsid w:val="00094D0E"/>
    <w:rsid w:val="00095BA4"/>
    <w:rsid w:val="0009703A"/>
    <w:rsid w:val="000A0EA7"/>
    <w:rsid w:val="000A2160"/>
    <w:rsid w:val="000A4F41"/>
    <w:rsid w:val="000A60D9"/>
    <w:rsid w:val="000A66E1"/>
    <w:rsid w:val="000A6A7A"/>
    <w:rsid w:val="000B1FE2"/>
    <w:rsid w:val="000B2331"/>
    <w:rsid w:val="000B24EF"/>
    <w:rsid w:val="000B2FB8"/>
    <w:rsid w:val="000B3050"/>
    <w:rsid w:val="000B4C56"/>
    <w:rsid w:val="000B65FE"/>
    <w:rsid w:val="000B728D"/>
    <w:rsid w:val="000C1895"/>
    <w:rsid w:val="000C37A4"/>
    <w:rsid w:val="000C455E"/>
    <w:rsid w:val="000C61C0"/>
    <w:rsid w:val="000D341F"/>
    <w:rsid w:val="000D3422"/>
    <w:rsid w:val="000D7C49"/>
    <w:rsid w:val="000E097D"/>
    <w:rsid w:val="000E23F9"/>
    <w:rsid w:val="000E2B7C"/>
    <w:rsid w:val="000E3269"/>
    <w:rsid w:val="000E32ED"/>
    <w:rsid w:val="000E38C4"/>
    <w:rsid w:val="000E4097"/>
    <w:rsid w:val="000E5C9F"/>
    <w:rsid w:val="000E6037"/>
    <w:rsid w:val="000E6EA5"/>
    <w:rsid w:val="000F04DF"/>
    <w:rsid w:val="000F0D62"/>
    <w:rsid w:val="000F204A"/>
    <w:rsid w:val="000F2731"/>
    <w:rsid w:val="000F6385"/>
    <w:rsid w:val="000F7226"/>
    <w:rsid w:val="00100929"/>
    <w:rsid w:val="001063AA"/>
    <w:rsid w:val="00107568"/>
    <w:rsid w:val="0010770A"/>
    <w:rsid w:val="001108D0"/>
    <w:rsid w:val="00111F98"/>
    <w:rsid w:val="00112687"/>
    <w:rsid w:val="00112B53"/>
    <w:rsid w:val="00112DA1"/>
    <w:rsid w:val="001141F3"/>
    <w:rsid w:val="00116E5A"/>
    <w:rsid w:val="00117B70"/>
    <w:rsid w:val="00120260"/>
    <w:rsid w:val="00120F16"/>
    <w:rsid w:val="001229FF"/>
    <w:rsid w:val="0012423D"/>
    <w:rsid w:val="0012495C"/>
    <w:rsid w:val="00124A99"/>
    <w:rsid w:val="0012515A"/>
    <w:rsid w:val="001257AB"/>
    <w:rsid w:val="001258EE"/>
    <w:rsid w:val="0012717B"/>
    <w:rsid w:val="00130474"/>
    <w:rsid w:val="00130B3F"/>
    <w:rsid w:val="001359BB"/>
    <w:rsid w:val="00135B65"/>
    <w:rsid w:val="001368E9"/>
    <w:rsid w:val="00136C5E"/>
    <w:rsid w:val="00137626"/>
    <w:rsid w:val="001376D4"/>
    <w:rsid w:val="00137F8B"/>
    <w:rsid w:val="0014253B"/>
    <w:rsid w:val="00144DF8"/>
    <w:rsid w:val="0014753B"/>
    <w:rsid w:val="001512EF"/>
    <w:rsid w:val="001531F7"/>
    <w:rsid w:val="00154A0D"/>
    <w:rsid w:val="001602A2"/>
    <w:rsid w:val="001604DE"/>
    <w:rsid w:val="00160FB0"/>
    <w:rsid w:val="00165F2A"/>
    <w:rsid w:val="00166ECC"/>
    <w:rsid w:val="00172208"/>
    <w:rsid w:val="00172CFA"/>
    <w:rsid w:val="001732A0"/>
    <w:rsid w:val="001732BF"/>
    <w:rsid w:val="00180A0A"/>
    <w:rsid w:val="00181462"/>
    <w:rsid w:val="001819F9"/>
    <w:rsid w:val="00182053"/>
    <w:rsid w:val="0018232C"/>
    <w:rsid w:val="00186C50"/>
    <w:rsid w:val="0019354F"/>
    <w:rsid w:val="0019404F"/>
    <w:rsid w:val="00194B46"/>
    <w:rsid w:val="0019605B"/>
    <w:rsid w:val="00196DC7"/>
    <w:rsid w:val="00197790"/>
    <w:rsid w:val="001A12A0"/>
    <w:rsid w:val="001A13EA"/>
    <w:rsid w:val="001A1D4E"/>
    <w:rsid w:val="001A4BD1"/>
    <w:rsid w:val="001A5316"/>
    <w:rsid w:val="001A5CD9"/>
    <w:rsid w:val="001A5F90"/>
    <w:rsid w:val="001A6286"/>
    <w:rsid w:val="001A78F3"/>
    <w:rsid w:val="001A7CE8"/>
    <w:rsid w:val="001B0257"/>
    <w:rsid w:val="001B1E53"/>
    <w:rsid w:val="001B35A6"/>
    <w:rsid w:val="001B3D93"/>
    <w:rsid w:val="001B5557"/>
    <w:rsid w:val="001B5DCE"/>
    <w:rsid w:val="001B6685"/>
    <w:rsid w:val="001B7E51"/>
    <w:rsid w:val="001C04B6"/>
    <w:rsid w:val="001C139F"/>
    <w:rsid w:val="001C1A6A"/>
    <w:rsid w:val="001C221A"/>
    <w:rsid w:val="001C48A7"/>
    <w:rsid w:val="001C4A23"/>
    <w:rsid w:val="001D1002"/>
    <w:rsid w:val="001D1D83"/>
    <w:rsid w:val="001D1F36"/>
    <w:rsid w:val="001D21E3"/>
    <w:rsid w:val="001D38A4"/>
    <w:rsid w:val="001D3FAF"/>
    <w:rsid w:val="001D4590"/>
    <w:rsid w:val="001D51F0"/>
    <w:rsid w:val="001D78E5"/>
    <w:rsid w:val="001E0A28"/>
    <w:rsid w:val="001E4C18"/>
    <w:rsid w:val="001E53B6"/>
    <w:rsid w:val="001E5834"/>
    <w:rsid w:val="001E5FD4"/>
    <w:rsid w:val="001E6AF1"/>
    <w:rsid w:val="001F1C83"/>
    <w:rsid w:val="001F2D38"/>
    <w:rsid w:val="001F388A"/>
    <w:rsid w:val="001F4188"/>
    <w:rsid w:val="001F795A"/>
    <w:rsid w:val="0020011F"/>
    <w:rsid w:val="0020196A"/>
    <w:rsid w:val="002022C5"/>
    <w:rsid w:val="00203600"/>
    <w:rsid w:val="00207E87"/>
    <w:rsid w:val="00210D09"/>
    <w:rsid w:val="002117EB"/>
    <w:rsid w:val="00212715"/>
    <w:rsid w:val="00213EBB"/>
    <w:rsid w:val="0021457C"/>
    <w:rsid w:val="00216D15"/>
    <w:rsid w:val="00220577"/>
    <w:rsid w:val="00220CB7"/>
    <w:rsid w:val="00222CB7"/>
    <w:rsid w:val="00222FF3"/>
    <w:rsid w:val="00224F7E"/>
    <w:rsid w:val="002264D8"/>
    <w:rsid w:val="0023140F"/>
    <w:rsid w:val="002339C4"/>
    <w:rsid w:val="00235B1E"/>
    <w:rsid w:val="00235FB4"/>
    <w:rsid w:val="00237614"/>
    <w:rsid w:val="002417E1"/>
    <w:rsid w:val="00241B53"/>
    <w:rsid w:val="00244241"/>
    <w:rsid w:val="002449C6"/>
    <w:rsid w:val="00244F62"/>
    <w:rsid w:val="002454C5"/>
    <w:rsid w:val="00250143"/>
    <w:rsid w:val="002501B3"/>
    <w:rsid w:val="0025138D"/>
    <w:rsid w:val="00251645"/>
    <w:rsid w:val="00252BF6"/>
    <w:rsid w:val="00252F37"/>
    <w:rsid w:val="00254C42"/>
    <w:rsid w:val="00255190"/>
    <w:rsid w:val="00255D5B"/>
    <w:rsid w:val="00257C3C"/>
    <w:rsid w:val="00257EDA"/>
    <w:rsid w:val="0026083F"/>
    <w:rsid w:val="00261720"/>
    <w:rsid w:val="00262733"/>
    <w:rsid w:val="0026301A"/>
    <w:rsid w:val="00263B0E"/>
    <w:rsid w:val="0026468D"/>
    <w:rsid w:val="002664DB"/>
    <w:rsid w:val="0026657D"/>
    <w:rsid w:val="0026721E"/>
    <w:rsid w:val="002674BF"/>
    <w:rsid w:val="0026797E"/>
    <w:rsid w:val="00270820"/>
    <w:rsid w:val="00271B39"/>
    <w:rsid w:val="00271DC8"/>
    <w:rsid w:val="00272A52"/>
    <w:rsid w:val="002738AF"/>
    <w:rsid w:val="002763F9"/>
    <w:rsid w:val="0028108B"/>
    <w:rsid w:val="002815DC"/>
    <w:rsid w:val="002827BD"/>
    <w:rsid w:val="00282B9A"/>
    <w:rsid w:val="002869E1"/>
    <w:rsid w:val="00290E29"/>
    <w:rsid w:val="00291061"/>
    <w:rsid w:val="0029120D"/>
    <w:rsid w:val="00291F50"/>
    <w:rsid w:val="00292CE7"/>
    <w:rsid w:val="0029320C"/>
    <w:rsid w:val="00293B27"/>
    <w:rsid w:val="00294744"/>
    <w:rsid w:val="00294C03"/>
    <w:rsid w:val="002951D0"/>
    <w:rsid w:val="0029595F"/>
    <w:rsid w:val="002A267A"/>
    <w:rsid w:val="002A3534"/>
    <w:rsid w:val="002A4C62"/>
    <w:rsid w:val="002A6707"/>
    <w:rsid w:val="002B5BB5"/>
    <w:rsid w:val="002B606B"/>
    <w:rsid w:val="002C1323"/>
    <w:rsid w:val="002C2B8F"/>
    <w:rsid w:val="002C2D53"/>
    <w:rsid w:val="002C32C2"/>
    <w:rsid w:val="002C4C2F"/>
    <w:rsid w:val="002C4CC4"/>
    <w:rsid w:val="002C55CB"/>
    <w:rsid w:val="002C59D9"/>
    <w:rsid w:val="002C6941"/>
    <w:rsid w:val="002C74B8"/>
    <w:rsid w:val="002C7B31"/>
    <w:rsid w:val="002C7C1F"/>
    <w:rsid w:val="002D009F"/>
    <w:rsid w:val="002D0B8E"/>
    <w:rsid w:val="002D0FEC"/>
    <w:rsid w:val="002D14C7"/>
    <w:rsid w:val="002D2640"/>
    <w:rsid w:val="002D5B6B"/>
    <w:rsid w:val="002D7F2C"/>
    <w:rsid w:val="002E060A"/>
    <w:rsid w:val="002E1491"/>
    <w:rsid w:val="002E2672"/>
    <w:rsid w:val="002E33CB"/>
    <w:rsid w:val="002E3DA4"/>
    <w:rsid w:val="002E3EF9"/>
    <w:rsid w:val="002E4D60"/>
    <w:rsid w:val="002E5E9E"/>
    <w:rsid w:val="002E71B6"/>
    <w:rsid w:val="002E7547"/>
    <w:rsid w:val="002F0A47"/>
    <w:rsid w:val="002F1BC6"/>
    <w:rsid w:val="002F23E0"/>
    <w:rsid w:val="002F3F5B"/>
    <w:rsid w:val="002F453D"/>
    <w:rsid w:val="002F518C"/>
    <w:rsid w:val="002F5541"/>
    <w:rsid w:val="002F6293"/>
    <w:rsid w:val="00301B03"/>
    <w:rsid w:val="00301E9F"/>
    <w:rsid w:val="003020E0"/>
    <w:rsid w:val="003048CB"/>
    <w:rsid w:val="003052B8"/>
    <w:rsid w:val="003067A4"/>
    <w:rsid w:val="003075D7"/>
    <w:rsid w:val="00310E61"/>
    <w:rsid w:val="00312C53"/>
    <w:rsid w:val="00314594"/>
    <w:rsid w:val="0032105B"/>
    <w:rsid w:val="003214CE"/>
    <w:rsid w:val="0032248D"/>
    <w:rsid w:val="0032484B"/>
    <w:rsid w:val="00324E0F"/>
    <w:rsid w:val="00325EB7"/>
    <w:rsid w:val="00330269"/>
    <w:rsid w:val="00330AC8"/>
    <w:rsid w:val="00330BAF"/>
    <w:rsid w:val="00331D5E"/>
    <w:rsid w:val="0033208D"/>
    <w:rsid w:val="00332208"/>
    <w:rsid w:val="00332476"/>
    <w:rsid w:val="00332DDC"/>
    <w:rsid w:val="00333053"/>
    <w:rsid w:val="00333C0C"/>
    <w:rsid w:val="0033419A"/>
    <w:rsid w:val="00334D67"/>
    <w:rsid w:val="003362AC"/>
    <w:rsid w:val="00336324"/>
    <w:rsid w:val="003372F4"/>
    <w:rsid w:val="003403C9"/>
    <w:rsid w:val="00340D48"/>
    <w:rsid w:val="003415AA"/>
    <w:rsid w:val="00344867"/>
    <w:rsid w:val="0034516F"/>
    <w:rsid w:val="003454FB"/>
    <w:rsid w:val="00345E02"/>
    <w:rsid w:val="00345E50"/>
    <w:rsid w:val="00345F85"/>
    <w:rsid w:val="00350406"/>
    <w:rsid w:val="003522F2"/>
    <w:rsid w:val="00353D43"/>
    <w:rsid w:val="003543EA"/>
    <w:rsid w:val="0035489D"/>
    <w:rsid w:val="0035652B"/>
    <w:rsid w:val="00356C1B"/>
    <w:rsid w:val="00356F48"/>
    <w:rsid w:val="00360404"/>
    <w:rsid w:val="003609B5"/>
    <w:rsid w:val="00360CEE"/>
    <w:rsid w:val="0036132C"/>
    <w:rsid w:val="0036137D"/>
    <w:rsid w:val="0036309F"/>
    <w:rsid w:val="00364840"/>
    <w:rsid w:val="00365F1F"/>
    <w:rsid w:val="00367F65"/>
    <w:rsid w:val="00370149"/>
    <w:rsid w:val="00370CB9"/>
    <w:rsid w:val="003730F1"/>
    <w:rsid w:val="003733EC"/>
    <w:rsid w:val="003748AA"/>
    <w:rsid w:val="003763FE"/>
    <w:rsid w:val="00377730"/>
    <w:rsid w:val="0038046D"/>
    <w:rsid w:val="003818CE"/>
    <w:rsid w:val="00381B32"/>
    <w:rsid w:val="00381DE6"/>
    <w:rsid w:val="003822BD"/>
    <w:rsid w:val="003832A5"/>
    <w:rsid w:val="0038380D"/>
    <w:rsid w:val="003842FC"/>
    <w:rsid w:val="0038556B"/>
    <w:rsid w:val="00391D45"/>
    <w:rsid w:val="003931B8"/>
    <w:rsid w:val="003934CB"/>
    <w:rsid w:val="00396EDE"/>
    <w:rsid w:val="0039790C"/>
    <w:rsid w:val="003A04D9"/>
    <w:rsid w:val="003A0FED"/>
    <w:rsid w:val="003A1300"/>
    <w:rsid w:val="003A1E33"/>
    <w:rsid w:val="003A2D8F"/>
    <w:rsid w:val="003A30B7"/>
    <w:rsid w:val="003A5D59"/>
    <w:rsid w:val="003B25BA"/>
    <w:rsid w:val="003B2ABB"/>
    <w:rsid w:val="003B5677"/>
    <w:rsid w:val="003B5B17"/>
    <w:rsid w:val="003B5BF9"/>
    <w:rsid w:val="003B693F"/>
    <w:rsid w:val="003B7BE5"/>
    <w:rsid w:val="003B7DC3"/>
    <w:rsid w:val="003C0990"/>
    <w:rsid w:val="003C0AAD"/>
    <w:rsid w:val="003C1806"/>
    <w:rsid w:val="003C19A4"/>
    <w:rsid w:val="003C35AC"/>
    <w:rsid w:val="003D1D98"/>
    <w:rsid w:val="003D1FA1"/>
    <w:rsid w:val="003D3771"/>
    <w:rsid w:val="003D3D51"/>
    <w:rsid w:val="003D4C6B"/>
    <w:rsid w:val="003D5233"/>
    <w:rsid w:val="003D59AB"/>
    <w:rsid w:val="003E048D"/>
    <w:rsid w:val="003E10BD"/>
    <w:rsid w:val="003E1957"/>
    <w:rsid w:val="003E1D3C"/>
    <w:rsid w:val="003E1E61"/>
    <w:rsid w:val="003E46A1"/>
    <w:rsid w:val="003E49EF"/>
    <w:rsid w:val="003E4FE4"/>
    <w:rsid w:val="003E5318"/>
    <w:rsid w:val="003E554E"/>
    <w:rsid w:val="003E57C6"/>
    <w:rsid w:val="003E5A69"/>
    <w:rsid w:val="003F0BAD"/>
    <w:rsid w:val="003F2089"/>
    <w:rsid w:val="003F2321"/>
    <w:rsid w:val="003F2386"/>
    <w:rsid w:val="003F3347"/>
    <w:rsid w:val="003F5322"/>
    <w:rsid w:val="003F7016"/>
    <w:rsid w:val="003F748E"/>
    <w:rsid w:val="003F76A8"/>
    <w:rsid w:val="003F7DD3"/>
    <w:rsid w:val="00400D8C"/>
    <w:rsid w:val="004012A1"/>
    <w:rsid w:val="0040146A"/>
    <w:rsid w:val="00401F37"/>
    <w:rsid w:val="004020E2"/>
    <w:rsid w:val="004043FD"/>
    <w:rsid w:val="0040548C"/>
    <w:rsid w:val="00406C10"/>
    <w:rsid w:val="00407A1C"/>
    <w:rsid w:val="00411044"/>
    <w:rsid w:val="004114CD"/>
    <w:rsid w:val="004125B2"/>
    <w:rsid w:val="00414C28"/>
    <w:rsid w:val="00415D90"/>
    <w:rsid w:val="004208A6"/>
    <w:rsid w:val="004221A9"/>
    <w:rsid w:val="00422348"/>
    <w:rsid w:val="004236A4"/>
    <w:rsid w:val="00423920"/>
    <w:rsid w:val="00425078"/>
    <w:rsid w:val="00425D46"/>
    <w:rsid w:val="0043232D"/>
    <w:rsid w:val="00432E3B"/>
    <w:rsid w:val="004330FB"/>
    <w:rsid w:val="00435753"/>
    <w:rsid w:val="004360C4"/>
    <w:rsid w:val="00440BBB"/>
    <w:rsid w:val="004417C3"/>
    <w:rsid w:val="00442330"/>
    <w:rsid w:val="004434F2"/>
    <w:rsid w:val="0044368A"/>
    <w:rsid w:val="00444314"/>
    <w:rsid w:val="00445F57"/>
    <w:rsid w:val="00446F2C"/>
    <w:rsid w:val="004471F9"/>
    <w:rsid w:val="0045044D"/>
    <w:rsid w:val="00450B27"/>
    <w:rsid w:val="0045379E"/>
    <w:rsid w:val="00454C2D"/>
    <w:rsid w:val="00455BC0"/>
    <w:rsid w:val="00460466"/>
    <w:rsid w:val="00460640"/>
    <w:rsid w:val="0046120F"/>
    <w:rsid w:val="00461F47"/>
    <w:rsid w:val="004624EF"/>
    <w:rsid w:val="00462ECB"/>
    <w:rsid w:val="00463168"/>
    <w:rsid w:val="00463F01"/>
    <w:rsid w:val="00466753"/>
    <w:rsid w:val="004707DA"/>
    <w:rsid w:val="00471973"/>
    <w:rsid w:val="0047249A"/>
    <w:rsid w:val="0047401C"/>
    <w:rsid w:val="00474C5F"/>
    <w:rsid w:val="00474D02"/>
    <w:rsid w:val="00475571"/>
    <w:rsid w:val="004764A0"/>
    <w:rsid w:val="004768AC"/>
    <w:rsid w:val="00480068"/>
    <w:rsid w:val="00481401"/>
    <w:rsid w:val="00481B23"/>
    <w:rsid w:val="00481FB1"/>
    <w:rsid w:val="00482FF8"/>
    <w:rsid w:val="0048658E"/>
    <w:rsid w:val="00487759"/>
    <w:rsid w:val="00490250"/>
    <w:rsid w:val="004910C1"/>
    <w:rsid w:val="004921D6"/>
    <w:rsid w:val="0049420B"/>
    <w:rsid w:val="00495EEB"/>
    <w:rsid w:val="0049642D"/>
    <w:rsid w:val="00497642"/>
    <w:rsid w:val="004A22C7"/>
    <w:rsid w:val="004A2B1E"/>
    <w:rsid w:val="004A37AF"/>
    <w:rsid w:val="004A4825"/>
    <w:rsid w:val="004A7BE9"/>
    <w:rsid w:val="004B14F8"/>
    <w:rsid w:val="004B2B4C"/>
    <w:rsid w:val="004B2F42"/>
    <w:rsid w:val="004B3087"/>
    <w:rsid w:val="004B30E7"/>
    <w:rsid w:val="004B57A9"/>
    <w:rsid w:val="004C0CFD"/>
    <w:rsid w:val="004C0D29"/>
    <w:rsid w:val="004C1B8F"/>
    <w:rsid w:val="004C253C"/>
    <w:rsid w:val="004C4C9A"/>
    <w:rsid w:val="004C5137"/>
    <w:rsid w:val="004C58A6"/>
    <w:rsid w:val="004C6587"/>
    <w:rsid w:val="004C7241"/>
    <w:rsid w:val="004C739A"/>
    <w:rsid w:val="004D0464"/>
    <w:rsid w:val="004D6798"/>
    <w:rsid w:val="004D7F01"/>
    <w:rsid w:val="004E165C"/>
    <w:rsid w:val="004E3AE7"/>
    <w:rsid w:val="004E7146"/>
    <w:rsid w:val="004F2654"/>
    <w:rsid w:val="004F3522"/>
    <w:rsid w:val="004F3608"/>
    <w:rsid w:val="004F5311"/>
    <w:rsid w:val="004F5F2C"/>
    <w:rsid w:val="004F603D"/>
    <w:rsid w:val="005009E9"/>
    <w:rsid w:val="00500A23"/>
    <w:rsid w:val="005027A5"/>
    <w:rsid w:val="005029D2"/>
    <w:rsid w:val="00502D90"/>
    <w:rsid w:val="00505385"/>
    <w:rsid w:val="005058CE"/>
    <w:rsid w:val="00506CE3"/>
    <w:rsid w:val="00512BCA"/>
    <w:rsid w:val="00516902"/>
    <w:rsid w:val="00522F19"/>
    <w:rsid w:val="00523624"/>
    <w:rsid w:val="00524D77"/>
    <w:rsid w:val="0052751E"/>
    <w:rsid w:val="00527BA4"/>
    <w:rsid w:val="0053237A"/>
    <w:rsid w:val="00533C54"/>
    <w:rsid w:val="00534514"/>
    <w:rsid w:val="0053523E"/>
    <w:rsid w:val="00537234"/>
    <w:rsid w:val="0054141E"/>
    <w:rsid w:val="00541659"/>
    <w:rsid w:val="00541D80"/>
    <w:rsid w:val="0054432B"/>
    <w:rsid w:val="005449DF"/>
    <w:rsid w:val="00546D18"/>
    <w:rsid w:val="00547D85"/>
    <w:rsid w:val="00551144"/>
    <w:rsid w:val="00554381"/>
    <w:rsid w:val="00555104"/>
    <w:rsid w:val="005554FD"/>
    <w:rsid w:val="005557C8"/>
    <w:rsid w:val="00557EA4"/>
    <w:rsid w:val="005615D2"/>
    <w:rsid w:val="0056350C"/>
    <w:rsid w:val="00564CBE"/>
    <w:rsid w:val="00565C64"/>
    <w:rsid w:val="00565EA2"/>
    <w:rsid w:val="00565FFD"/>
    <w:rsid w:val="00567A9C"/>
    <w:rsid w:val="00567D94"/>
    <w:rsid w:val="00570553"/>
    <w:rsid w:val="00570A6F"/>
    <w:rsid w:val="005713ED"/>
    <w:rsid w:val="0057200E"/>
    <w:rsid w:val="005724C4"/>
    <w:rsid w:val="005725EE"/>
    <w:rsid w:val="005729A2"/>
    <w:rsid w:val="005729C7"/>
    <w:rsid w:val="00574A08"/>
    <w:rsid w:val="005750DF"/>
    <w:rsid w:val="00575BAF"/>
    <w:rsid w:val="0057726B"/>
    <w:rsid w:val="00577BFF"/>
    <w:rsid w:val="00577F19"/>
    <w:rsid w:val="0058034B"/>
    <w:rsid w:val="00580996"/>
    <w:rsid w:val="00583DD5"/>
    <w:rsid w:val="0058694A"/>
    <w:rsid w:val="00586BCC"/>
    <w:rsid w:val="00590FF9"/>
    <w:rsid w:val="0059215B"/>
    <w:rsid w:val="00593028"/>
    <w:rsid w:val="00593EBC"/>
    <w:rsid w:val="005947CC"/>
    <w:rsid w:val="00594A8E"/>
    <w:rsid w:val="00595FF0"/>
    <w:rsid w:val="0059746E"/>
    <w:rsid w:val="005A1F0D"/>
    <w:rsid w:val="005A2B2C"/>
    <w:rsid w:val="005A3B87"/>
    <w:rsid w:val="005A3FF3"/>
    <w:rsid w:val="005A4EC2"/>
    <w:rsid w:val="005B02D7"/>
    <w:rsid w:val="005B0E0C"/>
    <w:rsid w:val="005B3AC5"/>
    <w:rsid w:val="005B3FFE"/>
    <w:rsid w:val="005B41B7"/>
    <w:rsid w:val="005B4200"/>
    <w:rsid w:val="005B54AA"/>
    <w:rsid w:val="005C0D76"/>
    <w:rsid w:val="005C0FAD"/>
    <w:rsid w:val="005C17C0"/>
    <w:rsid w:val="005C46ED"/>
    <w:rsid w:val="005C6FC7"/>
    <w:rsid w:val="005C75FD"/>
    <w:rsid w:val="005C78A2"/>
    <w:rsid w:val="005D0CA1"/>
    <w:rsid w:val="005D1A1C"/>
    <w:rsid w:val="005D2264"/>
    <w:rsid w:val="005D293E"/>
    <w:rsid w:val="005D2C44"/>
    <w:rsid w:val="005D314E"/>
    <w:rsid w:val="005D57A0"/>
    <w:rsid w:val="005E0275"/>
    <w:rsid w:val="005E16BC"/>
    <w:rsid w:val="005E3E05"/>
    <w:rsid w:val="005E3F98"/>
    <w:rsid w:val="005E606B"/>
    <w:rsid w:val="005E62DF"/>
    <w:rsid w:val="005E635D"/>
    <w:rsid w:val="005F12BA"/>
    <w:rsid w:val="005F1956"/>
    <w:rsid w:val="005F19A1"/>
    <w:rsid w:val="005F2548"/>
    <w:rsid w:val="005F2EC7"/>
    <w:rsid w:val="005F2FA3"/>
    <w:rsid w:val="005F2FFC"/>
    <w:rsid w:val="005F31BF"/>
    <w:rsid w:val="005F5149"/>
    <w:rsid w:val="005F5BBC"/>
    <w:rsid w:val="005F6550"/>
    <w:rsid w:val="005F6EAF"/>
    <w:rsid w:val="005F79E6"/>
    <w:rsid w:val="0060124F"/>
    <w:rsid w:val="006039D1"/>
    <w:rsid w:val="00604B84"/>
    <w:rsid w:val="00604D34"/>
    <w:rsid w:val="00604E3F"/>
    <w:rsid w:val="00604E4A"/>
    <w:rsid w:val="00607045"/>
    <w:rsid w:val="00607C9B"/>
    <w:rsid w:val="006123D5"/>
    <w:rsid w:val="006129E3"/>
    <w:rsid w:val="00612D35"/>
    <w:rsid w:val="006155B1"/>
    <w:rsid w:val="00622102"/>
    <w:rsid w:val="0062297F"/>
    <w:rsid w:val="0062448E"/>
    <w:rsid w:val="00624EBE"/>
    <w:rsid w:val="00626E85"/>
    <w:rsid w:val="00632824"/>
    <w:rsid w:val="00632F22"/>
    <w:rsid w:val="006335FD"/>
    <w:rsid w:val="00634088"/>
    <w:rsid w:val="006341C3"/>
    <w:rsid w:val="00634AF0"/>
    <w:rsid w:val="006355CF"/>
    <w:rsid w:val="00635830"/>
    <w:rsid w:val="00635FE1"/>
    <w:rsid w:val="006377D2"/>
    <w:rsid w:val="0064059E"/>
    <w:rsid w:val="0064070D"/>
    <w:rsid w:val="0064091B"/>
    <w:rsid w:val="00645745"/>
    <w:rsid w:val="00645F83"/>
    <w:rsid w:val="0064718B"/>
    <w:rsid w:val="0065037A"/>
    <w:rsid w:val="0065150F"/>
    <w:rsid w:val="006534DD"/>
    <w:rsid w:val="00653F6B"/>
    <w:rsid w:val="00654691"/>
    <w:rsid w:val="00655AE9"/>
    <w:rsid w:val="00655FBE"/>
    <w:rsid w:val="00656AA2"/>
    <w:rsid w:val="00657D8E"/>
    <w:rsid w:val="00663D92"/>
    <w:rsid w:val="006650F4"/>
    <w:rsid w:val="006659C3"/>
    <w:rsid w:val="0067007B"/>
    <w:rsid w:val="0067136D"/>
    <w:rsid w:val="00671585"/>
    <w:rsid w:val="006725A1"/>
    <w:rsid w:val="00673094"/>
    <w:rsid w:val="00675AA7"/>
    <w:rsid w:val="00675D20"/>
    <w:rsid w:val="00676EA7"/>
    <w:rsid w:val="00680AB8"/>
    <w:rsid w:val="00683AB0"/>
    <w:rsid w:val="006840C1"/>
    <w:rsid w:val="00687E3A"/>
    <w:rsid w:val="00692351"/>
    <w:rsid w:val="0069260E"/>
    <w:rsid w:val="00695210"/>
    <w:rsid w:val="00696FCF"/>
    <w:rsid w:val="00697170"/>
    <w:rsid w:val="006A1252"/>
    <w:rsid w:val="006A23CB"/>
    <w:rsid w:val="006A3BF7"/>
    <w:rsid w:val="006A4C93"/>
    <w:rsid w:val="006A68BB"/>
    <w:rsid w:val="006A7D69"/>
    <w:rsid w:val="006B13A8"/>
    <w:rsid w:val="006B13C4"/>
    <w:rsid w:val="006B4E94"/>
    <w:rsid w:val="006C294A"/>
    <w:rsid w:val="006D0BDB"/>
    <w:rsid w:val="006D21A8"/>
    <w:rsid w:val="006D2AC6"/>
    <w:rsid w:val="006D44DD"/>
    <w:rsid w:val="006D501E"/>
    <w:rsid w:val="006D5267"/>
    <w:rsid w:val="006D6F63"/>
    <w:rsid w:val="006E1DBC"/>
    <w:rsid w:val="006E4B01"/>
    <w:rsid w:val="006E4F62"/>
    <w:rsid w:val="006E4FC4"/>
    <w:rsid w:val="006E51B2"/>
    <w:rsid w:val="006F061F"/>
    <w:rsid w:val="006F3F0E"/>
    <w:rsid w:val="006F7F25"/>
    <w:rsid w:val="00701B0E"/>
    <w:rsid w:val="00702DE0"/>
    <w:rsid w:val="0070414D"/>
    <w:rsid w:val="00705CAB"/>
    <w:rsid w:val="00706AC7"/>
    <w:rsid w:val="00706F64"/>
    <w:rsid w:val="00707E13"/>
    <w:rsid w:val="00711259"/>
    <w:rsid w:val="0071200E"/>
    <w:rsid w:val="007120A1"/>
    <w:rsid w:val="007135F9"/>
    <w:rsid w:val="00716BF0"/>
    <w:rsid w:val="0071777F"/>
    <w:rsid w:val="0072255F"/>
    <w:rsid w:val="00722A4A"/>
    <w:rsid w:val="00724CE8"/>
    <w:rsid w:val="00730AE5"/>
    <w:rsid w:val="0073215A"/>
    <w:rsid w:val="0073328E"/>
    <w:rsid w:val="007350B0"/>
    <w:rsid w:val="0073520C"/>
    <w:rsid w:val="00736DF6"/>
    <w:rsid w:val="00743D91"/>
    <w:rsid w:val="00745F39"/>
    <w:rsid w:val="0074668B"/>
    <w:rsid w:val="0074759A"/>
    <w:rsid w:val="00750953"/>
    <w:rsid w:val="00750D8C"/>
    <w:rsid w:val="0075177A"/>
    <w:rsid w:val="007539E3"/>
    <w:rsid w:val="00753F84"/>
    <w:rsid w:val="007543FB"/>
    <w:rsid w:val="00754455"/>
    <w:rsid w:val="00754B46"/>
    <w:rsid w:val="00754B4E"/>
    <w:rsid w:val="00755540"/>
    <w:rsid w:val="007555D2"/>
    <w:rsid w:val="00755862"/>
    <w:rsid w:val="007567A1"/>
    <w:rsid w:val="007602B4"/>
    <w:rsid w:val="007619E8"/>
    <w:rsid w:val="00764F22"/>
    <w:rsid w:val="0077203B"/>
    <w:rsid w:val="007737C5"/>
    <w:rsid w:val="0077389A"/>
    <w:rsid w:val="007764F2"/>
    <w:rsid w:val="0078278F"/>
    <w:rsid w:val="007847F8"/>
    <w:rsid w:val="007854CB"/>
    <w:rsid w:val="0078571F"/>
    <w:rsid w:val="00786C5E"/>
    <w:rsid w:val="007903B9"/>
    <w:rsid w:val="00791146"/>
    <w:rsid w:val="00791F4B"/>
    <w:rsid w:val="0079381F"/>
    <w:rsid w:val="00794F84"/>
    <w:rsid w:val="0079512A"/>
    <w:rsid w:val="00795AFC"/>
    <w:rsid w:val="0079656B"/>
    <w:rsid w:val="007A2E8A"/>
    <w:rsid w:val="007A3136"/>
    <w:rsid w:val="007A4702"/>
    <w:rsid w:val="007A5AB5"/>
    <w:rsid w:val="007A7B09"/>
    <w:rsid w:val="007B1CD9"/>
    <w:rsid w:val="007B21AD"/>
    <w:rsid w:val="007B562D"/>
    <w:rsid w:val="007C05D2"/>
    <w:rsid w:val="007C25B9"/>
    <w:rsid w:val="007C4500"/>
    <w:rsid w:val="007C5395"/>
    <w:rsid w:val="007C575A"/>
    <w:rsid w:val="007C57CE"/>
    <w:rsid w:val="007D5492"/>
    <w:rsid w:val="007D560B"/>
    <w:rsid w:val="007D631B"/>
    <w:rsid w:val="007D637E"/>
    <w:rsid w:val="007D6775"/>
    <w:rsid w:val="007E0DE8"/>
    <w:rsid w:val="007E6789"/>
    <w:rsid w:val="007F0ADE"/>
    <w:rsid w:val="007F18AF"/>
    <w:rsid w:val="007F4422"/>
    <w:rsid w:val="007F55C5"/>
    <w:rsid w:val="007F62E8"/>
    <w:rsid w:val="007F656E"/>
    <w:rsid w:val="0080139D"/>
    <w:rsid w:val="008024D7"/>
    <w:rsid w:val="00802E2E"/>
    <w:rsid w:val="00803267"/>
    <w:rsid w:val="008045EB"/>
    <w:rsid w:val="00806F55"/>
    <w:rsid w:val="0081369D"/>
    <w:rsid w:val="008142F5"/>
    <w:rsid w:val="00814C8C"/>
    <w:rsid w:val="008220BA"/>
    <w:rsid w:val="00823C76"/>
    <w:rsid w:val="008249AF"/>
    <w:rsid w:val="00827BE6"/>
    <w:rsid w:val="00830086"/>
    <w:rsid w:val="00831843"/>
    <w:rsid w:val="00831BBB"/>
    <w:rsid w:val="00832B24"/>
    <w:rsid w:val="00833BD5"/>
    <w:rsid w:val="008350B3"/>
    <w:rsid w:val="00835845"/>
    <w:rsid w:val="00835FCC"/>
    <w:rsid w:val="0083666D"/>
    <w:rsid w:val="008401D1"/>
    <w:rsid w:val="00841365"/>
    <w:rsid w:val="008420A9"/>
    <w:rsid w:val="00843BA2"/>
    <w:rsid w:val="008443FE"/>
    <w:rsid w:val="008457A8"/>
    <w:rsid w:val="0084695D"/>
    <w:rsid w:val="008469D0"/>
    <w:rsid w:val="008473B5"/>
    <w:rsid w:val="00850422"/>
    <w:rsid w:val="0085139D"/>
    <w:rsid w:val="008513CF"/>
    <w:rsid w:val="0085143B"/>
    <w:rsid w:val="0085698E"/>
    <w:rsid w:val="00856C17"/>
    <w:rsid w:val="00870B93"/>
    <w:rsid w:val="008711F5"/>
    <w:rsid w:val="00871A52"/>
    <w:rsid w:val="00871CF1"/>
    <w:rsid w:val="00871E15"/>
    <w:rsid w:val="0087472D"/>
    <w:rsid w:val="008758F0"/>
    <w:rsid w:val="00876391"/>
    <w:rsid w:val="00877A32"/>
    <w:rsid w:val="00877C02"/>
    <w:rsid w:val="008804B4"/>
    <w:rsid w:val="0088050D"/>
    <w:rsid w:val="00881C47"/>
    <w:rsid w:val="00884972"/>
    <w:rsid w:val="008853E8"/>
    <w:rsid w:val="00886BB5"/>
    <w:rsid w:val="008907AD"/>
    <w:rsid w:val="008912A1"/>
    <w:rsid w:val="00891624"/>
    <w:rsid w:val="00893C64"/>
    <w:rsid w:val="00894752"/>
    <w:rsid w:val="00894F56"/>
    <w:rsid w:val="0089693F"/>
    <w:rsid w:val="00896D4B"/>
    <w:rsid w:val="00897830"/>
    <w:rsid w:val="008A2C94"/>
    <w:rsid w:val="008A31DE"/>
    <w:rsid w:val="008A5A5F"/>
    <w:rsid w:val="008A612F"/>
    <w:rsid w:val="008A7671"/>
    <w:rsid w:val="008A7E1F"/>
    <w:rsid w:val="008A7FF9"/>
    <w:rsid w:val="008B103D"/>
    <w:rsid w:val="008B1921"/>
    <w:rsid w:val="008B2131"/>
    <w:rsid w:val="008B5B59"/>
    <w:rsid w:val="008C21BB"/>
    <w:rsid w:val="008C3CC0"/>
    <w:rsid w:val="008C3E26"/>
    <w:rsid w:val="008C3FE9"/>
    <w:rsid w:val="008C40B2"/>
    <w:rsid w:val="008C5B33"/>
    <w:rsid w:val="008C6735"/>
    <w:rsid w:val="008D2304"/>
    <w:rsid w:val="008D2F02"/>
    <w:rsid w:val="008D2F94"/>
    <w:rsid w:val="008D30A7"/>
    <w:rsid w:val="008D35FD"/>
    <w:rsid w:val="008D38B4"/>
    <w:rsid w:val="008D392F"/>
    <w:rsid w:val="008D47FB"/>
    <w:rsid w:val="008D49A1"/>
    <w:rsid w:val="008D5C40"/>
    <w:rsid w:val="008D655B"/>
    <w:rsid w:val="008E1943"/>
    <w:rsid w:val="008E1ED6"/>
    <w:rsid w:val="008E3E22"/>
    <w:rsid w:val="008F3856"/>
    <w:rsid w:val="008F46C7"/>
    <w:rsid w:val="008F6E77"/>
    <w:rsid w:val="008F76BD"/>
    <w:rsid w:val="00900E45"/>
    <w:rsid w:val="00901FB8"/>
    <w:rsid w:val="00902799"/>
    <w:rsid w:val="00905D47"/>
    <w:rsid w:val="00906397"/>
    <w:rsid w:val="00911399"/>
    <w:rsid w:val="009116F4"/>
    <w:rsid w:val="009117AD"/>
    <w:rsid w:val="00912777"/>
    <w:rsid w:val="00913E95"/>
    <w:rsid w:val="00916406"/>
    <w:rsid w:val="009168D3"/>
    <w:rsid w:val="0091690D"/>
    <w:rsid w:val="00922796"/>
    <w:rsid w:val="0092707B"/>
    <w:rsid w:val="009272BF"/>
    <w:rsid w:val="00927DA5"/>
    <w:rsid w:val="00930E9D"/>
    <w:rsid w:val="00931AF3"/>
    <w:rsid w:val="00932D57"/>
    <w:rsid w:val="0093572D"/>
    <w:rsid w:val="00936763"/>
    <w:rsid w:val="0093739C"/>
    <w:rsid w:val="0094088E"/>
    <w:rsid w:val="00941CFE"/>
    <w:rsid w:val="0094209D"/>
    <w:rsid w:val="009425F9"/>
    <w:rsid w:val="00942753"/>
    <w:rsid w:val="00942A12"/>
    <w:rsid w:val="00944255"/>
    <w:rsid w:val="00944A15"/>
    <w:rsid w:val="00950B68"/>
    <w:rsid w:val="00951047"/>
    <w:rsid w:val="00951348"/>
    <w:rsid w:val="00951C43"/>
    <w:rsid w:val="009524C9"/>
    <w:rsid w:val="00954ED5"/>
    <w:rsid w:val="00956F05"/>
    <w:rsid w:val="00956F40"/>
    <w:rsid w:val="009573F6"/>
    <w:rsid w:val="00957936"/>
    <w:rsid w:val="0096132E"/>
    <w:rsid w:val="00964C63"/>
    <w:rsid w:val="009653BA"/>
    <w:rsid w:val="00965851"/>
    <w:rsid w:val="009674BF"/>
    <w:rsid w:val="00976C93"/>
    <w:rsid w:val="0097700D"/>
    <w:rsid w:val="00981F30"/>
    <w:rsid w:val="00982CBD"/>
    <w:rsid w:val="0098431C"/>
    <w:rsid w:val="00986F0B"/>
    <w:rsid w:val="009901E6"/>
    <w:rsid w:val="0099184C"/>
    <w:rsid w:val="009924E6"/>
    <w:rsid w:val="009A0A15"/>
    <w:rsid w:val="009A1999"/>
    <w:rsid w:val="009A1CF0"/>
    <w:rsid w:val="009A20D0"/>
    <w:rsid w:val="009A2528"/>
    <w:rsid w:val="009A3321"/>
    <w:rsid w:val="009A3B4F"/>
    <w:rsid w:val="009A47AE"/>
    <w:rsid w:val="009A4E70"/>
    <w:rsid w:val="009A62AC"/>
    <w:rsid w:val="009A6B94"/>
    <w:rsid w:val="009A70F8"/>
    <w:rsid w:val="009A7590"/>
    <w:rsid w:val="009B10AF"/>
    <w:rsid w:val="009B207A"/>
    <w:rsid w:val="009B2973"/>
    <w:rsid w:val="009B40F6"/>
    <w:rsid w:val="009B4C00"/>
    <w:rsid w:val="009B516D"/>
    <w:rsid w:val="009B53B0"/>
    <w:rsid w:val="009B7EB8"/>
    <w:rsid w:val="009C098E"/>
    <w:rsid w:val="009C0A76"/>
    <w:rsid w:val="009C0BD6"/>
    <w:rsid w:val="009C0C86"/>
    <w:rsid w:val="009C14A4"/>
    <w:rsid w:val="009C274F"/>
    <w:rsid w:val="009C286C"/>
    <w:rsid w:val="009C3FA1"/>
    <w:rsid w:val="009C4444"/>
    <w:rsid w:val="009C5405"/>
    <w:rsid w:val="009C7A9D"/>
    <w:rsid w:val="009C7B99"/>
    <w:rsid w:val="009D0EB6"/>
    <w:rsid w:val="009D1C57"/>
    <w:rsid w:val="009D2A12"/>
    <w:rsid w:val="009D2AE6"/>
    <w:rsid w:val="009D2DA0"/>
    <w:rsid w:val="009D430F"/>
    <w:rsid w:val="009D54EC"/>
    <w:rsid w:val="009D56FC"/>
    <w:rsid w:val="009D6321"/>
    <w:rsid w:val="009D64CC"/>
    <w:rsid w:val="009D6F6D"/>
    <w:rsid w:val="009E00A0"/>
    <w:rsid w:val="009E07D3"/>
    <w:rsid w:val="009E1DDB"/>
    <w:rsid w:val="009E4950"/>
    <w:rsid w:val="009E4DBA"/>
    <w:rsid w:val="009E73DC"/>
    <w:rsid w:val="009E76D6"/>
    <w:rsid w:val="009F5875"/>
    <w:rsid w:val="009F7074"/>
    <w:rsid w:val="009F71F8"/>
    <w:rsid w:val="009F7ACB"/>
    <w:rsid w:val="00A0267E"/>
    <w:rsid w:val="00A03EC2"/>
    <w:rsid w:val="00A04181"/>
    <w:rsid w:val="00A0623D"/>
    <w:rsid w:val="00A10643"/>
    <w:rsid w:val="00A128DD"/>
    <w:rsid w:val="00A131BB"/>
    <w:rsid w:val="00A133C4"/>
    <w:rsid w:val="00A1407E"/>
    <w:rsid w:val="00A155C9"/>
    <w:rsid w:val="00A17CDE"/>
    <w:rsid w:val="00A200D4"/>
    <w:rsid w:val="00A20396"/>
    <w:rsid w:val="00A20EBB"/>
    <w:rsid w:val="00A2243B"/>
    <w:rsid w:val="00A2424D"/>
    <w:rsid w:val="00A24F45"/>
    <w:rsid w:val="00A255AE"/>
    <w:rsid w:val="00A2571F"/>
    <w:rsid w:val="00A260DB"/>
    <w:rsid w:val="00A27026"/>
    <w:rsid w:val="00A325B0"/>
    <w:rsid w:val="00A3327E"/>
    <w:rsid w:val="00A34994"/>
    <w:rsid w:val="00A37B02"/>
    <w:rsid w:val="00A40122"/>
    <w:rsid w:val="00A40ED1"/>
    <w:rsid w:val="00A431CA"/>
    <w:rsid w:val="00A43926"/>
    <w:rsid w:val="00A52DE6"/>
    <w:rsid w:val="00A54E76"/>
    <w:rsid w:val="00A55D30"/>
    <w:rsid w:val="00A55E89"/>
    <w:rsid w:val="00A56143"/>
    <w:rsid w:val="00A57023"/>
    <w:rsid w:val="00A57916"/>
    <w:rsid w:val="00A61123"/>
    <w:rsid w:val="00A62224"/>
    <w:rsid w:val="00A637E9"/>
    <w:rsid w:val="00A63D65"/>
    <w:rsid w:val="00A667F8"/>
    <w:rsid w:val="00A67FCF"/>
    <w:rsid w:val="00A70054"/>
    <w:rsid w:val="00A70383"/>
    <w:rsid w:val="00A7125B"/>
    <w:rsid w:val="00A71E0D"/>
    <w:rsid w:val="00A725BB"/>
    <w:rsid w:val="00A72C84"/>
    <w:rsid w:val="00A736FE"/>
    <w:rsid w:val="00A738C2"/>
    <w:rsid w:val="00A740D9"/>
    <w:rsid w:val="00A75FA3"/>
    <w:rsid w:val="00A77536"/>
    <w:rsid w:val="00A8105B"/>
    <w:rsid w:val="00A819E6"/>
    <w:rsid w:val="00A82286"/>
    <w:rsid w:val="00A8301D"/>
    <w:rsid w:val="00A8395A"/>
    <w:rsid w:val="00A83A8B"/>
    <w:rsid w:val="00A84037"/>
    <w:rsid w:val="00A87B28"/>
    <w:rsid w:val="00A912DF"/>
    <w:rsid w:val="00A91526"/>
    <w:rsid w:val="00A93165"/>
    <w:rsid w:val="00A93BC0"/>
    <w:rsid w:val="00A947BE"/>
    <w:rsid w:val="00A96573"/>
    <w:rsid w:val="00A9760E"/>
    <w:rsid w:val="00AA283A"/>
    <w:rsid w:val="00AA402B"/>
    <w:rsid w:val="00AA4D07"/>
    <w:rsid w:val="00AB0C83"/>
    <w:rsid w:val="00AB2704"/>
    <w:rsid w:val="00AB56EB"/>
    <w:rsid w:val="00AB5B86"/>
    <w:rsid w:val="00AB6F7A"/>
    <w:rsid w:val="00AC06DA"/>
    <w:rsid w:val="00AC117F"/>
    <w:rsid w:val="00AC1973"/>
    <w:rsid w:val="00AC28A1"/>
    <w:rsid w:val="00AC2D32"/>
    <w:rsid w:val="00AC43E6"/>
    <w:rsid w:val="00AC497B"/>
    <w:rsid w:val="00AC5243"/>
    <w:rsid w:val="00AC5A36"/>
    <w:rsid w:val="00AC5EF7"/>
    <w:rsid w:val="00AC63AE"/>
    <w:rsid w:val="00AC63C3"/>
    <w:rsid w:val="00AD2D55"/>
    <w:rsid w:val="00AD40C1"/>
    <w:rsid w:val="00AD465E"/>
    <w:rsid w:val="00AD788E"/>
    <w:rsid w:val="00AD7B7E"/>
    <w:rsid w:val="00AE16A2"/>
    <w:rsid w:val="00AE2457"/>
    <w:rsid w:val="00AE4909"/>
    <w:rsid w:val="00AE5299"/>
    <w:rsid w:val="00AE72F9"/>
    <w:rsid w:val="00AF06EE"/>
    <w:rsid w:val="00AF1738"/>
    <w:rsid w:val="00AF2937"/>
    <w:rsid w:val="00AF40B4"/>
    <w:rsid w:val="00AF40BD"/>
    <w:rsid w:val="00AF5822"/>
    <w:rsid w:val="00AF5E3F"/>
    <w:rsid w:val="00AF6F87"/>
    <w:rsid w:val="00B00C85"/>
    <w:rsid w:val="00B04984"/>
    <w:rsid w:val="00B056F8"/>
    <w:rsid w:val="00B06A62"/>
    <w:rsid w:val="00B070F2"/>
    <w:rsid w:val="00B071CE"/>
    <w:rsid w:val="00B1224F"/>
    <w:rsid w:val="00B1380A"/>
    <w:rsid w:val="00B13CBF"/>
    <w:rsid w:val="00B149C0"/>
    <w:rsid w:val="00B14E20"/>
    <w:rsid w:val="00B169D7"/>
    <w:rsid w:val="00B17BD9"/>
    <w:rsid w:val="00B20DF3"/>
    <w:rsid w:val="00B22FC6"/>
    <w:rsid w:val="00B23032"/>
    <w:rsid w:val="00B237F6"/>
    <w:rsid w:val="00B24E2F"/>
    <w:rsid w:val="00B255FF"/>
    <w:rsid w:val="00B256FD"/>
    <w:rsid w:val="00B269EB"/>
    <w:rsid w:val="00B270E6"/>
    <w:rsid w:val="00B27F2E"/>
    <w:rsid w:val="00B309C0"/>
    <w:rsid w:val="00B344F2"/>
    <w:rsid w:val="00B34F85"/>
    <w:rsid w:val="00B35BB8"/>
    <w:rsid w:val="00B36A1A"/>
    <w:rsid w:val="00B4049A"/>
    <w:rsid w:val="00B41609"/>
    <w:rsid w:val="00B41CFE"/>
    <w:rsid w:val="00B41DD4"/>
    <w:rsid w:val="00B43ECF"/>
    <w:rsid w:val="00B44F38"/>
    <w:rsid w:val="00B45A90"/>
    <w:rsid w:val="00B46A90"/>
    <w:rsid w:val="00B51AAB"/>
    <w:rsid w:val="00B5360C"/>
    <w:rsid w:val="00B56484"/>
    <w:rsid w:val="00B570AC"/>
    <w:rsid w:val="00B57257"/>
    <w:rsid w:val="00B603D6"/>
    <w:rsid w:val="00B6083D"/>
    <w:rsid w:val="00B60E67"/>
    <w:rsid w:val="00B61B11"/>
    <w:rsid w:val="00B62995"/>
    <w:rsid w:val="00B62A70"/>
    <w:rsid w:val="00B62AFE"/>
    <w:rsid w:val="00B62C12"/>
    <w:rsid w:val="00B6393A"/>
    <w:rsid w:val="00B64843"/>
    <w:rsid w:val="00B65881"/>
    <w:rsid w:val="00B662AE"/>
    <w:rsid w:val="00B6644F"/>
    <w:rsid w:val="00B667CE"/>
    <w:rsid w:val="00B67459"/>
    <w:rsid w:val="00B713E2"/>
    <w:rsid w:val="00B72924"/>
    <w:rsid w:val="00B73329"/>
    <w:rsid w:val="00B74B2F"/>
    <w:rsid w:val="00B7522D"/>
    <w:rsid w:val="00B754EA"/>
    <w:rsid w:val="00B761B5"/>
    <w:rsid w:val="00B76462"/>
    <w:rsid w:val="00B76C1C"/>
    <w:rsid w:val="00B77F31"/>
    <w:rsid w:val="00B80544"/>
    <w:rsid w:val="00B81C99"/>
    <w:rsid w:val="00B828DF"/>
    <w:rsid w:val="00B831F0"/>
    <w:rsid w:val="00B85E40"/>
    <w:rsid w:val="00B861B8"/>
    <w:rsid w:val="00B91AA1"/>
    <w:rsid w:val="00B92220"/>
    <w:rsid w:val="00B949E0"/>
    <w:rsid w:val="00B959AD"/>
    <w:rsid w:val="00B963DA"/>
    <w:rsid w:val="00B979F7"/>
    <w:rsid w:val="00BA1C5E"/>
    <w:rsid w:val="00BA3776"/>
    <w:rsid w:val="00BA616C"/>
    <w:rsid w:val="00BB0651"/>
    <w:rsid w:val="00BB16DC"/>
    <w:rsid w:val="00BB1B91"/>
    <w:rsid w:val="00BB2821"/>
    <w:rsid w:val="00BB4D35"/>
    <w:rsid w:val="00BB6065"/>
    <w:rsid w:val="00BB7A7F"/>
    <w:rsid w:val="00BC0D63"/>
    <w:rsid w:val="00BC1156"/>
    <w:rsid w:val="00BC3087"/>
    <w:rsid w:val="00BC41A3"/>
    <w:rsid w:val="00BC7F51"/>
    <w:rsid w:val="00BD2765"/>
    <w:rsid w:val="00BD4E2C"/>
    <w:rsid w:val="00BD60AF"/>
    <w:rsid w:val="00BE10CE"/>
    <w:rsid w:val="00BE4973"/>
    <w:rsid w:val="00BE5B17"/>
    <w:rsid w:val="00BE625C"/>
    <w:rsid w:val="00BF0186"/>
    <w:rsid w:val="00BF0B57"/>
    <w:rsid w:val="00BF17CA"/>
    <w:rsid w:val="00BF2F7E"/>
    <w:rsid w:val="00BF56F3"/>
    <w:rsid w:val="00BF5AB2"/>
    <w:rsid w:val="00BF5AE0"/>
    <w:rsid w:val="00BF5CB8"/>
    <w:rsid w:val="00C01575"/>
    <w:rsid w:val="00C02A49"/>
    <w:rsid w:val="00C02F89"/>
    <w:rsid w:val="00C043C7"/>
    <w:rsid w:val="00C055DC"/>
    <w:rsid w:val="00C10B3B"/>
    <w:rsid w:val="00C10BA9"/>
    <w:rsid w:val="00C11BDF"/>
    <w:rsid w:val="00C122A5"/>
    <w:rsid w:val="00C13006"/>
    <w:rsid w:val="00C13066"/>
    <w:rsid w:val="00C13345"/>
    <w:rsid w:val="00C13A05"/>
    <w:rsid w:val="00C15E63"/>
    <w:rsid w:val="00C164E2"/>
    <w:rsid w:val="00C22109"/>
    <w:rsid w:val="00C25036"/>
    <w:rsid w:val="00C26A67"/>
    <w:rsid w:val="00C32F49"/>
    <w:rsid w:val="00C3359B"/>
    <w:rsid w:val="00C34055"/>
    <w:rsid w:val="00C34DDF"/>
    <w:rsid w:val="00C36D67"/>
    <w:rsid w:val="00C36FD3"/>
    <w:rsid w:val="00C3740C"/>
    <w:rsid w:val="00C377F2"/>
    <w:rsid w:val="00C3787A"/>
    <w:rsid w:val="00C37E4F"/>
    <w:rsid w:val="00C40C95"/>
    <w:rsid w:val="00C45380"/>
    <w:rsid w:val="00C4599F"/>
    <w:rsid w:val="00C4757A"/>
    <w:rsid w:val="00C51D43"/>
    <w:rsid w:val="00C52F93"/>
    <w:rsid w:val="00C56940"/>
    <w:rsid w:val="00C64F06"/>
    <w:rsid w:val="00C67163"/>
    <w:rsid w:val="00C671D2"/>
    <w:rsid w:val="00C67862"/>
    <w:rsid w:val="00C7006D"/>
    <w:rsid w:val="00C70102"/>
    <w:rsid w:val="00C75F20"/>
    <w:rsid w:val="00C76A21"/>
    <w:rsid w:val="00C76FE1"/>
    <w:rsid w:val="00C80FE4"/>
    <w:rsid w:val="00C81889"/>
    <w:rsid w:val="00C818DA"/>
    <w:rsid w:val="00C829D0"/>
    <w:rsid w:val="00C82E43"/>
    <w:rsid w:val="00C82ECA"/>
    <w:rsid w:val="00C8307F"/>
    <w:rsid w:val="00C83250"/>
    <w:rsid w:val="00C8370B"/>
    <w:rsid w:val="00C8568F"/>
    <w:rsid w:val="00C901DF"/>
    <w:rsid w:val="00C903F3"/>
    <w:rsid w:val="00C92DE4"/>
    <w:rsid w:val="00C93DAF"/>
    <w:rsid w:val="00C968FB"/>
    <w:rsid w:val="00CA1027"/>
    <w:rsid w:val="00CA19C1"/>
    <w:rsid w:val="00CA27EC"/>
    <w:rsid w:val="00CA350B"/>
    <w:rsid w:val="00CA591A"/>
    <w:rsid w:val="00CA7801"/>
    <w:rsid w:val="00CB146A"/>
    <w:rsid w:val="00CB663A"/>
    <w:rsid w:val="00CB732F"/>
    <w:rsid w:val="00CC087A"/>
    <w:rsid w:val="00CC1572"/>
    <w:rsid w:val="00CC1C99"/>
    <w:rsid w:val="00CC2EF4"/>
    <w:rsid w:val="00CC5C6A"/>
    <w:rsid w:val="00CD02E8"/>
    <w:rsid w:val="00CD5EF7"/>
    <w:rsid w:val="00CD6054"/>
    <w:rsid w:val="00CD6933"/>
    <w:rsid w:val="00CD6AA9"/>
    <w:rsid w:val="00CD6D4D"/>
    <w:rsid w:val="00CE029C"/>
    <w:rsid w:val="00CE1FBE"/>
    <w:rsid w:val="00CE2BF3"/>
    <w:rsid w:val="00CE6717"/>
    <w:rsid w:val="00CF06AE"/>
    <w:rsid w:val="00CF0773"/>
    <w:rsid w:val="00CF0D9D"/>
    <w:rsid w:val="00CF245F"/>
    <w:rsid w:val="00CF2913"/>
    <w:rsid w:val="00CF4301"/>
    <w:rsid w:val="00CF6A85"/>
    <w:rsid w:val="00CF7D76"/>
    <w:rsid w:val="00D0222B"/>
    <w:rsid w:val="00D02C8E"/>
    <w:rsid w:val="00D02E63"/>
    <w:rsid w:val="00D0479E"/>
    <w:rsid w:val="00D05863"/>
    <w:rsid w:val="00D063C6"/>
    <w:rsid w:val="00D06F46"/>
    <w:rsid w:val="00D10387"/>
    <w:rsid w:val="00D13B50"/>
    <w:rsid w:val="00D14F24"/>
    <w:rsid w:val="00D151F4"/>
    <w:rsid w:val="00D16B7B"/>
    <w:rsid w:val="00D20849"/>
    <w:rsid w:val="00D20952"/>
    <w:rsid w:val="00D223D4"/>
    <w:rsid w:val="00D24979"/>
    <w:rsid w:val="00D25878"/>
    <w:rsid w:val="00D26509"/>
    <w:rsid w:val="00D268F9"/>
    <w:rsid w:val="00D26F6E"/>
    <w:rsid w:val="00D275F2"/>
    <w:rsid w:val="00D27820"/>
    <w:rsid w:val="00D30083"/>
    <w:rsid w:val="00D36636"/>
    <w:rsid w:val="00D36742"/>
    <w:rsid w:val="00D37165"/>
    <w:rsid w:val="00D37E40"/>
    <w:rsid w:val="00D401F4"/>
    <w:rsid w:val="00D4066D"/>
    <w:rsid w:val="00D41666"/>
    <w:rsid w:val="00D4198E"/>
    <w:rsid w:val="00D41E03"/>
    <w:rsid w:val="00D4200B"/>
    <w:rsid w:val="00D4453D"/>
    <w:rsid w:val="00D4465E"/>
    <w:rsid w:val="00D45019"/>
    <w:rsid w:val="00D457DC"/>
    <w:rsid w:val="00D46126"/>
    <w:rsid w:val="00D47278"/>
    <w:rsid w:val="00D47C87"/>
    <w:rsid w:val="00D5077D"/>
    <w:rsid w:val="00D50B6D"/>
    <w:rsid w:val="00D51927"/>
    <w:rsid w:val="00D53C7E"/>
    <w:rsid w:val="00D56BE7"/>
    <w:rsid w:val="00D614AD"/>
    <w:rsid w:val="00D61F29"/>
    <w:rsid w:val="00D638BA"/>
    <w:rsid w:val="00D64B70"/>
    <w:rsid w:val="00D65F23"/>
    <w:rsid w:val="00D65F65"/>
    <w:rsid w:val="00D67B8C"/>
    <w:rsid w:val="00D70E06"/>
    <w:rsid w:val="00D72A78"/>
    <w:rsid w:val="00D72E2F"/>
    <w:rsid w:val="00D73B56"/>
    <w:rsid w:val="00D74886"/>
    <w:rsid w:val="00D8085E"/>
    <w:rsid w:val="00D80899"/>
    <w:rsid w:val="00D80FB5"/>
    <w:rsid w:val="00D83913"/>
    <w:rsid w:val="00D84274"/>
    <w:rsid w:val="00D84B36"/>
    <w:rsid w:val="00D9296E"/>
    <w:rsid w:val="00D92F48"/>
    <w:rsid w:val="00D947B4"/>
    <w:rsid w:val="00D94DCD"/>
    <w:rsid w:val="00D95474"/>
    <w:rsid w:val="00D95C12"/>
    <w:rsid w:val="00DA23F2"/>
    <w:rsid w:val="00DA71E1"/>
    <w:rsid w:val="00DB0681"/>
    <w:rsid w:val="00DB0834"/>
    <w:rsid w:val="00DB1BD9"/>
    <w:rsid w:val="00DB4516"/>
    <w:rsid w:val="00DB5EF5"/>
    <w:rsid w:val="00DB603A"/>
    <w:rsid w:val="00DB60FB"/>
    <w:rsid w:val="00DB6791"/>
    <w:rsid w:val="00DB7EA4"/>
    <w:rsid w:val="00DC0CEF"/>
    <w:rsid w:val="00DC1A63"/>
    <w:rsid w:val="00DC363D"/>
    <w:rsid w:val="00DC3F2A"/>
    <w:rsid w:val="00DD0B3D"/>
    <w:rsid w:val="00DD0C5E"/>
    <w:rsid w:val="00DD1133"/>
    <w:rsid w:val="00DD148B"/>
    <w:rsid w:val="00DD27C1"/>
    <w:rsid w:val="00DD2DCC"/>
    <w:rsid w:val="00DD2FA7"/>
    <w:rsid w:val="00DD3DC5"/>
    <w:rsid w:val="00DD69DE"/>
    <w:rsid w:val="00DE0ED6"/>
    <w:rsid w:val="00DE23E7"/>
    <w:rsid w:val="00DE2E00"/>
    <w:rsid w:val="00DE365D"/>
    <w:rsid w:val="00DE37F1"/>
    <w:rsid w:val="00DE3E51"/>
    <w:rsid w:val="00DE715D"/>
    <w:rsid w:val="00DF16AA"/>
    <w:rsid w:val="00DF1ADB"/>
    <w:rsid w:val="00DF28BF"/>
    <w:rsid w:val="00DF4446"/>
    <w:rsid w:val="00DF5515"/>
    <w:rsid w:val="00DF630E"/>
    <w:rsid w:val="00DF6B70"/>
    <w:rsid w:val="00DF7BAD"/>
    <w:rsid w:val="00DF7BE7"/>
    <w:rsid w:val="00DF7F59"/>
    <w:rsid w:val="00E016AD"/>
    <w:rsid w:val="00E01BE1"/>
    <w:rsid w:val="00E01E5F"/>
    <w:rsid w:val="00E04001"/>
    <w:rsid w:val="00E05EE7"/>
    <w:rsid w:val="00E11783"/>
    <w:rsid w:val="00E13A09"/>
    <w:rsid w:val="00E13B7E"/>
    <w:rsid w:val="00E165C2"/>
    <w:rsid w:val="00E216F0"/>
    <w:rsid w:val="00E230B1"/>
    <w:rsid w:val="00E23389"/>
    <w:rsid w:val="00E25988"/>
    <w:rsid w:val="00E31ECF"/>
    <w:rsid w:val="00E31F20"/>
    <w:rsid w:val="00E31F29"/>
    <w:rsid w:val="00E33261"/>
    <w:rsid w:val="00E333A2"/>
    <w:rsid w:val="00E36686"/>
    <w:rsid w:val="00E36CB4"/>
    <w:rsid w:val="00E415F6"/>
    <w:rsid w:val="00E41DBA"/>
    <w:rsid w:val="00E42EDD"/>
    <w:rsid w:val="00E4431F"/>
    <w:rsid w:val="00E44822"/>
    <w:rsid w:val="00E46839"/>
    <w:rsid w:val="00E506FB"/>
    <w:rsid w:val="00E5194C"/>
    <w:rsid w:val="00E531D3"/>
    <w:rsid w:val="00E53434"/>
    <w:rsid w:val="00E534D4"/>
    <w:rsid w:val="00E5685D"/>
    <w:rsid w:val="00E57CC8"/>
    <w:rsid w:val="00E606D7"/>
    <w:rsid w:val="00E60ADA"/>
    <w:rsid w:val="00E6290F"/>
    <w:rsid w:val="00E641F9"/>
    <w:rsid w:val="00E64F57"/>
    <w:rsid w:val="00E65D5F"/>
    <w:rsid w:val="00E66806"/>
    <w:rsid w:val="00E67552"/>
    <w:rsid w:val="00E678CB"/>
    <w:rsid w:val="00E67EB6"/>
    <w:rsid w:val="00E70A95"/>
    <w:rsid w:val="00E70BB0"/>
    <w:rsid w:val="00E727AF"/>
    <w:rsid w:val="00E737CB"/>
    <w:rsid w:val="00E73A8C"/>
    <w:rsid w:val="00E73E94"/>
    <w:rsid w:val="00E75C8C"/>
    <w:rsid w:val="00E76DD5"/>
    <w:rsid w:val="00E8084E"/>
    <w:rsid w:val="00E80C8C"/>
    <w:rsid w:val="00E80D8B"/>
    <w:rsid w:val="00E81C71"/>
    <w:rsid w:val="00E852AA"/>
    <w:rsid w:val="00E85F69"/>
    <w:rsid w:val="00E868B1"/>
    <w:rsid w:val="00E90CE0"/>
    <w:rsid w:val="00E945BC"/>
    <w:rsid w:val="00E952E3"/>
    <w:rsid w:val="00E95C27"/>
    <w:rsid w:val="00EA0F13"/>
    <w:rsid w:val="00EA199E"/>
    <w:rsid w:val="00EA220E"/>
    <w:rsid w:val="00EA482D"/>
    <w:rsid w:val="00EA607A"/>
    <w:rsid w:val="00EA663B"/>
    <w:rsid w:val="00EA68F3"/>
    <w:rsid w:val="00EA77EB"/>
    <w:rsid w:val="00EA7A88"/>
    <w:rsid w:val="00EB187D"/>
    <w:rsid w:val="00EB1D61"/>
    <w:rsid w:val="00EB2902"/>
    <w:rsid w:val="00EB2936"/>
    <w:rsid w:val="00EB412C"/>
    <w:rsid w:val="00EB4387"/>
    <w:rsid w:val="00EB4B65"/>
    <w:rsid w:val="00EB5BE3"/>
    <w:rsid w:val="00EC539A"/>
    <w:rsid w:val="00EC566F"/>
    <w:rsid w:val="00EC5C97"/>
    <w:rsid w:val="00EC79E1"/>
    <w:rsid w:val="00ED15B6"/>
    <w:rsid w:val="00ED2003"/>
    <w:rsid w:val="00ED291E"/>
    <w:rsid w:val="00ED5C37"/>
    <w:rsid w:val="00ED69BB"/>
    <w:rsid w:val="00ED7786"/>
    <w:rsid w:val="00EE21A2"/>
    <w:rsid w:val="00EE2625"/>
    <w:rsid w:val="00EE2C2F"/>
    <w:rsid w:val="00EE30BC"/>
    <w:rsid w:val="00EE39A2"/>
    <w:rsid w:val="00EE3EAD"/>
    <w:rsid w:val="00EE4D53"/>
    <w:rsid w:val="00EE5BFF"/>
    <w:rsid w:val="00EF0E85"/>
    <w:rsid w:val="00EF1DA1"/>
    <w:rsid w:val="00EF2C6B"/>
    <w:rsid w:val="00EF3B9E"/>
    <w:rsid w:val="00EF456E"/>
    <w:rsid w:val="00EF68E5"/>
    <w:rsid w:val="00EF740B"/>
    <w:rsid w:val="00F004F0"/>
    <w:rsid w:val="00F01562"/>
    <w:rsid w:val="00F01AB5"/>
    <w:rsid w:val="00F02308"/>
    <w:rsid w:val="00F027A4"/>
    <w:rsid w:val="00F02E6D"/>
    <w:rsid w:val="00F0320C"/>
    <w:rsid w:val="00F03F91"/>
    <w:rsid w:val="00F06806"/>
    <w:rsid w:val="00F06C78"/>
    <w:rsid w:val="00F06F12"/>
    <w:rsid w:val="00F077EB"/>
    <w:rsid w:val="00F07D9D"/>
    <w:rsid w:val="00F108E4"/>
    <w:rsid w:val="00F10BC9"/>
    <w:rsid w:val="00F10D45"/>
    <w:rsid w:val="00F10D94"/>
    <w:rsid w:val="00F10F0F"/>
    <w:rsid w:val="00F110E2"/>
    <w:rsid w:val="00F1145B"/>
    <w:rsid w:val="00F1154D"/>
    <w:rsid w:val="00F13AF0"/>
    <w:rsid w:val="00F1778F"/>
    <w:rsid w:val="00F203F2"/>
    <w:rsid w:val="00F21609"/>
    <w:rsid w:val="00F21AD6"/>
    <w:rsid w:val="00F226A4"/>
    <w:rsid w:val="00F23808"/>
    <w:rsid w:val="00F24B97"/>
    <w:rsid w:val="00F25144"/>
    <w:rsid w:val="00F31CE3"/>
    <w:rsid w:val="00F31D0B"/>
    <w:rsid w:val="00F33933"/>
    <w:rsid w:val="00F33C9F"/>
    <w:rsid w:val="00F34A3D"/>
    <w:rsid w:val="00F367DE"/>
    <w:rsid w:val="00F41109"/>
    <w:rsid w:val="00F43F1B"/>
    <w:rsid w:val="00F44AAB"/>
    <w:rsid w:val="00F455BE"/>
    <w:rsid w:val="00F45922"/>
    <w:rsid w:val="00F470E8"/>
    <w:rsid w:val="00F5076C"/>
    <w:rsid w:val="00F51F44"/>
    <w:rsid w:val="00F54890"/>
    <w:rsid w:val="00F567F9"/>
    <w:rsid w:val="00F57871"/>
    <w:rsid w:val="00F6184D"/>
    <w:rsid w:val="00F642FE"/>
    <w:rsid w:val="00F65760"/>
    <w:rsid w:val="00F65EC7"/>
    <w:rsid w:val="00F674DF"/>
    <w:rsid w:val="00F7579C"/>
    <w:rsid w:val="00F80A51"/>
    <w:rsid w:val="00F83009"/>
    <w:rsid w:val="00F85AF2"/>
    <w:rsid w:val="00F870D7"/>
    <w:rsid w:val="00F907A2"/>
    <w:rsid w:val="00F92588"/>
    <w:rsid w:val="00F93B65"/>
    <w:rsid w:val="00F950DF"/>
    <w:rsid w:val="00FA111F"/>
    <w:rsid w:val="00FA16BA"/>
    <w:rsid w:val="00FA45BF"/>
    <w:rsid w:val="00FA4998"/>
    <w:rsid w:val="00FA4EDD"/>
    <w:rsid w:val="00FA50D4"/>
    <w:rsid w:val="00FA5994"/>
    <w:rsid w:val="00FA7F80"/>
    <w:rsid w:val="00FB17D2"/>
    <w:rsid w:val="00FB2328"/>
    <w:rsid w:val="00FB290F"/>
    <w:rsid w:val="00FB3914"/>
    <w:rsid w:val="00FB50A4"/>
    <w:rsid w:val="00FB51A6"/>
    <w:rsid w:val="00FC148A"/>
    <w:rsid w:val="00FC5326"/>
    <w:rsid w:val="00FC5460"/>
    <w:rsid w:val="00FC5FE9"/>
    <w:rsid w:val="00FC60E4"/>
    <w:rsid w:val="00FC6172"/>
    <w:rsid w:val="00FC74A3"/>
    <w:rsid w:val="00FC7675"/>
    <w:rsid w:val="00FC7E7F"/>
    <w:rsid w:val="00FD09CF"/>
    <w:rsid w:val="00FD1648"/>
    <w:rsid w:val="00FD175E"/>
    <w:rsid w:val="00FD1948"/>
    <w:rsid w:val="00FD31CB"/>
    <w:rsid w:val="00FD3E72"/>
    <w:rsid w:val="00FD41F9"/>
    <w:rsid w:val="00FD534D"/>
    <w:rsid w:val="00FD5763"/>
    <w:rsid w:val="00FD59DA"/>
    <w:rsid w:val="00FE395C"/>
    <w:rsid w:val="00FE4A23"/>
    <w:rsid w:val="00FE608B"/>
    <w:rsid w:val="00FE7AAE"/>
    <w:rsid w:val="00FF161E"/>
    <w:rsid w:val="00FF4A67"/>
    <w:rsid w:val="00FF5164"/>
    <w:rsid w:val="00FF5693"/>
    <w:rsid w:val="00FF5840"/>
    <w:rsid w:val="00FF5A6C"/>
    <w:rsid w:val="00FF6536"/>
    <w:rsid w:val="00FF6849"/>
    <w:rsid w:val="00FF720D"/>
    <w:rsid w:val="02890D36"/>
    <w:rsid w:val="03D9195C"/>
    <w:rsid w:val="04477A12"/>
    <w:rsid w:val="05435974"/>
    <w:rsid w:val="056A6504"/>
    <w:rsid w:val="058E35AC"/>
    <w:rsid w:val="09721F8E"/>
    <w:rsid w:val="0A750537"/>
    <w:rsid w:val="0A7FCBC0"/>
    <w:rsid w:val="0ABC0CAB"/>
    <w:rsid w:val="0B080C35"/>
    <w:rsid w:val="107B6026"/>
    <w:rsid w:val="10B2133D"/>
    <w:rsid w:val="11B511CF"/>
    <w:rsid w:val="156F4137"/>
    <w:rsid w:val="15701BB9"/>
    <w:rsid w:val="15CB0FCE"/>
    <w:rsid w:val="15F13669"/>
    <w:rsid w:val="17FE5A6A"/>
    <w:rsid w:val="18EE6E35"/>
    <w:rsid w:val="1E1D368B"/>
    <w:rsid w:val="1F383249"/>
    <w:rsid w:val="1FBF7169"/>
    <w:rsid w:val="2086574B"/>
    <w:rsid w:val="21D30974"/>
    <w:rsid w:val="22EC5858"/>
    <w:rsid w:val="22FC5AF3"/>
    <w:rsid w:val="24084D2B"/>
    <w:rsid w:val="244F7CE7"/>
    <w:rsid w:val="28F916FE"/>
    <w:rsid w:val="2A2C16BD"/>
    <w:rsid w:val="2C1A76C8"/>
    <w:rsid w:val="2C7B2207"/>
    <w:rsid w:val="2DA467F1"/>
    <w:rsid w:val="2DA532B1"/>
    <w:rsid w:val="2F510214"/>
    <w:rsid w:val="31534978"/>
    <w:rsid w:val="316D0DA5"/>
    <w:rsid w:val="318F333A"/>
    <w:rsid w:val="32B016FA"/>
    <w:rsid w:val="330429F1"/>
    <w:rsid w:val="33900420"/>
    <w:rsid w:val="345352E6"/>
    <w:rsid w:val="35397B62"/>
    <w:rsid w:val="3770061D"/>
    <w:rsid w:val="38664C72"/>
    <w:rsid w:val="392730F3"/>
    <w:rsid w:val="397523E2"/>
    <w:rsid w:val="3A134805"/>
    <w:rsid w:val="3A481823"/>
    <w:rsid w:val="3A9E14C4"/>
    <w:rsid w:val="3BDFB84A"/>
    <w:rsid w:val="3CE75332"/>
    <w:rsid w:val="3D1A747C"/>
    <w:rsid w:val="3D504924"/>
    <w:rsid w:val="3EE17EFE"/>
    <w:rsid w:val="408234E1"/>
    <w:rsid w:val="455F595E"/>
    <w:rsid w:val="45EC57D9"/>
    <w:rsid w:val="467001B9"/>
    <w:rsid w:val="4A140E14"/>
    <w:rsid w:val="4A931783"/>
    <w:rsid w:val="4A9A1CA8"/>
    <w:rsid w:val="4AB96951"/>
    <w:rsid w:val="4ABE1D11"/>
    <w:rsid w:val="4B2A08D1"/>
    <w:rsid w:val="4B76442C"/>
    <w:rsid w:val="4D877542"/>
    <w:rsid w:val="4DEE2D5F"/>
    <w:rsid w:val="4EF61477"/>
    <w:rsid w:val="4F1B40D5"/>
    <w:rsid w:val="4F4E7E9B"/>
    <w:rsid w:val="50950AEC"/>
    <w:rsid w:val="51E41105"/>
    <w:rsid w:val="532AE92A"/>
    <w:rsid w:val="53AD0A04"/>
    <w:rsid w:val="53DE4743"/>
    <w:rsid w:val="544F49E2"/>
    <w:rsid w:val="546E6190"/>
    <w:rsid w:val="553B2061"/>
    <w:rsid w:val="560A056E"/>
    <w:rsid w:val="5637723F"/>
    <w:rsid w:val="5A1D607C"/>
    <w:rsid w:val="5A7A11AE"/>
    <w:rsid w:val="5D930F11"/>
    <w:rsid w:val="5FCC2DD7"/>
    <w:rsid w:val="5FE252DE"/>
    <w:rsid w:val="6057749B"/>
    <w:rsid w:val="61DF7322"/>
    <w:rsid w:val="62CD7EA4"/>
    <w:rsid w:val="630A358C"/>
    <w:rsid w:val="630E2DDB"/>
    <w:rsid w:val="63F57684"/>
    <w:rsid w:val="64CA7C54"/>
    <w:rsid w:val="6557535E"/>
    <w:rsid w:val="65D3019C"/>
    <w:rsid w:val="660F3A72"/>
    <w:rsid w:val="672FAFC3"/>
    <w:rsid w:val="67D13BAD"/>
    <w:rsid w:val="6925180D"/>
    <w:rsid w:val="697D2A6B"/>
    <w:rsid w:val="698E7ABC"/>
    <w:rsid w:val="69EF21C8"/>
    <w:rsid w:val="6A4D0376"/>
    <w:rsid w:val="6A4F12D8"/>
    <w:rsid w:val="6BE64829"/>
    <w:rsid w:val="6CCC5E0B"/>
    <w:rsid w:val="6EBD7F93"/>
    <w:rsid w:val="6F3F3691"/>
    <w:rsid w:val="70531ED5"/>
    <w:rsid w:val="71D2144C"/>
    <w:rsid w:val="71F02BFB"/>
    <w:rsid w:val="7357BFCD"/>
    <w:rsid w:val="74DE84B9"/>
    <w:rsid w:val="75E8027D"/>
    <w:rsid w:val="75EA1201"/>
    <w:rsid w:val="77247C84"/>
    <w:rsid w:val="77D73344"/>
    <w:rsid w:val="78EF2620"/>
    <w:rsid w:val="79E306C6"/>
    <w:rsid w:val="7A481AAB"/>
    <w:rsid w:val="7A6730A5"/>
    <w:rsid w:val="7AA7AE3F"/>
    <w:rsid w:val="7BF003F6"/>
    <w:rsid w:val="7D641D48"/>
    <w:rsid w:val="7D64352B"/>
    <w:rsid w:val="7D802572"/>
    <w:rsid w:val="7DEF18F3"/>
    <w:rsid w:val="7DF78A8E"/>
    <w:rsid w:val="7DF9223C"/>
    <w:rsid w:val="7EB16167"/>
    <w:rsid w:val="7F22771F"/>
    <w:rsid w:val="7F75DF4D"/>
    <w:rsid w:val="7F7BE3A4"/>
    <w:rsid w:val="7F7FC87A"/>
    <w:rsid w:val="7FED72FC"/>
    <w:rsid w:val="7FF755D8"/>
    <w:rsid w:val="BAFC4840"/>
    <w:rsid w:val="BFB9BA20"/>
    <w:rsid w:val="E74DC9F4"/>
    <w:rsid w:val="EBEFCFE3"/>
    <w:rsid w:val="EDFD66E8"/>
    <w:rsid w:val="EEFBFEBD"/>
    <w:rsid w:val="EFFF214E"/>
    <w:rsid w:val="F5BF2CAA"/>
    <w:rsid w:val="FE572475"/>
    <w:rsid w:val="FED3C380"/>
    <w:rsid w:val="FF9EED4A"/>
    <w:rsid w:val="FFE3878F"/>
    <w:rsid w:val="FFE7EA85"/>
    <w:rsid w:val="FFEF2DD3"/>
    <w:rsid w:val="FFF4BA95"/>
    <w:rsid w:val="FFFF28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spacing w:before="100" w:beforeAutospacing="1" w:after="100" w:afterAutospacing="1" w:line="360" w:lineRule="auto"/>
      <w:outlineLvl w:val="0"/>
    </w:pPr>
    <w:rPr>
      <w:b/>
      <w:bCs/>
      <w:kern w:val="44"/>
      <w:sz w:val="28"/>
      <w:szCs w:val="44"/>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Normal Indent"/>
    <w:basedOn w:val="1"/>
    <w:link w:val="22"/>
    <w:qFormat/>
    <w:uiPriority w:val="0"/>
    <w:pPr>
      <w:autoSpaceDE w:val="0"/>
      <w:autoSpaceDN w:val="0"/>
      <w:adjustRightInd w:val="0"/>
      <w:ind w:firstLine="420"/>
      <w:jc w:val="left"/>
    </w:pPr>
    <w:rPr>
      <w:rFonts w:ascii="宋体"/>
      <w:kern w:val="0"/>
      <w:szCs w:val="20"/>
    </w:rPr>
  </w:style>
  <w:style w:type="paragraph" w:styleId="4">
    <w:name w:val="Body Text Indent"/>
    <w:basedOn w:val="1"/>
    <w:qFormat/>
    <w:uiPriority w:val="0"/>
    <w:pPr>
      <w:ind w:left="1080" w:leftChars="450" w:firstLine="917" w:firstLineChars="382"/>
    </w:pPr>
  </w:style>
  <w:style w:type="paragraph" w:styleId="5">
    <w:name w:val="Body Text Indent 2"/>
    <w:basedOn w:val="1"/>
    <w:qFormat/>
    <w:uiPriority w:val="0"/>
    <w:pPr>
      <w:ind w:left="1440" w:leftChars="600" w:firstLine="1320" w:firstLineChars="550"/>
    </w:pPr>
  </w:style>
  <w:style w:type="paragraph" w:styleId="6">
    <w:name w:val="Balloon Text"/>
    <w:basedOn w:val="1"/>
    <w:semiHidden/>
    <w:qFormat/>
    <w:uiPriority w:val="0"/>
    <w:rPr>
      <w:sz w:val="18"/>
      <w:szCs w:val="18"/>
    </w:rPr>
  </w:style>
  <w:style w:type="paragraph" w:styleId="7">
    <w:name w:val="footer"/>
    <w:basedOn w:val="1"/>
    <w:link w:val="2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890"/>
      </w:tabs>
      <w:spacing w:line="240" w:lineRule="atLeast"/>
    </w:pPr>
  </w:style>
  <w:style w:type="paragraph" w:styleId="10">
    <w:name w:val="Subtitle"/>
    <w:basedOn w:val="1"/>
    <w:next w:val="1"/>
    <w:link w:val="25"/>
    <w:qFormat/>
    <w:uiPriority w:val="0"/>
    <w:pPr>
      <w:spacing w:before="100" w:beforeAutospacing="1" w:after="100" w:afterAutospacing="1"/>
      <w:jc w:val="left"/>
      <w:outlineLvl w:val="1"/>
    </w:pPr>
    <w:rPr>
      <w:rFonts w:asciiTheme="minorHAnsi" w:hAnsiTheme="minorHAnsi" w:eastAsiaTheme="minorEastAsia" w:cstheme="minorBidi"/>
      <w:b/>
      <w:bCs/>
      <w:kern w:val="28"/>
      <w:szCs w:val="32"/>
    </w:rPr>
  </w:style>
  <w:style w:type="paragraph" w:styleId="11">
    <w:name w:val="Body Text Indent 3"/>
    <w:basedOn w:val="1"/>
    <w:qFormat/>
    <w:uiPriority w:val="0"/>
    <w:pPr>
      <w:ind w:left="1620" w:leftChars="675" w:firstLine="360" w:firstLineChars="150"/>
    </w:pPr>
  </w:style>
  <w:style w:type="paragraph" w:styleId="12">
    <w:name w:val="toc 2"/>
    <w:basedOn w:val="1"/>
    <w:next w:val="1"/>
    <w:unhideWhenUsed/>
    <w:qFormat/>
    <w:uiPriority w:val="39"/>
    <w:pPr>
      <w:ind w:left="420" w:leftChars="200"/>
    </w:pPr>
  </w:style>
  <w:style w:type="paragraph" w:styleId="13">
    <w:name w:val="Normal (Web)"/>
    <w:basedOn w:val="1"/>
    <w:qFormat/>
    <w:uiPriority w:val="0"/>
    <w:pPr>
      <w:spacing w:beforeAutospacing="1" w:afterAutospacing="1"/>
      <w:jc w:val="left"/>
    </w:pPr>
    <w:rPr>
      <w:kern w:val="0"/>
    </w:rPr>
  </w:style>
  <w:style w:type="paragraph" w:styleId="14">
    <w:name w:val="Title"/>
    <w:basedOn w:val="1"/>
    <w:next w:val="1"/>
    <w:link w:val="26"/>
    <w:qFormat/>
    <w:uiPriority w:val="0"/>
    <w:pPr>
      <w:spacing w:before="240" w:after="60"/>
      <w:jc w:val="center"/>
      <w:outlineLvl w:val="0"/>
    </w:pPr>
    <w:rPr>
      <w:rFonts w:asciiTheme="majorHAnsi" w:hAnsiTheme="majorHAnsi" w:eastAsiaTheme="majorEastAsia" w:cstheme="majorBidi"/>
      <w:b/>
      <w:bCs/>
      <w:sz w:val="32"/>
      <w:szCs w:val="32"/>
    </w:rPr>
  </w:style>
  <w:style w:type="table" w:styleId="16">
    <w:name w:val="Table Grid"/>
    <w:basedOn w:val="1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qFormat/>
    <w:uiPriority w:val="99"/>
    <w:rPr>
      <w:color w:val="0000FF"/>
      <w:u w:val="single"/>
    </w:rPr>
  </w:style>
  <w:style w:type="character" w:customStyle="1" w:styleId="20">
    <w:name w:val="1 标题 Char"/>
    <w:link w:val="21"/>
    <w:qFormat/>
    <w:locked/>
    <w:uiPriority w:val="0"/>
    <w:rPr>
      <w:rFonts w:ascii="黑体" w:hAnsi="黑体" w:eastAsia="黑体"/>
      <w:b/>
      <w:kern w:val="44"/>
      <w:sz w:val="28"/>
      <w:lang w:val="en-US" w:eastAsia="zh-CN" w:bidi="ar-SA"/>
    </w:rPr>
  </w:style>
  <w:style w:type="paragraph" w:customStyle="1" w:styleId="21">
    <w:name w:val="1 标题"/>
    <w:basedOn w:val="2"/>
    <w:link w:val="20"/>
    <w:qFormat/>
    <w:uiPriority w:val="0"/>
    <w:pPr>
      <w:spacing w:before="160" w:after="160" w:line="240" w:lineRule="auto"/>
      <w:jc w:val="left"/>
    </w:pPr>
    <w:rPr>
      <w:rFonts w:ascii="黑体" w:hAnsi="黑体" w:eastAsia="黑体"/>
      <w:bCs w:val="0"/>
      <w:szCs w:val="20"/>
    </w:rPr>
  </w:style>
  <w:style w:type="character" w:customStyle="1" w:styleId="22">
    <w:name w:val="正文缩进 字符"/>
    <w:link w:val="3"/>
    <w:qFormat/>
    <w:locked/>
    <w:uiPriority w:val="0"/>
    <w:rPr>
      <w:rFonts w:ascii="宋体" w:eastAsia="宋体"/>
      <w:sz w:val="24"/>
      <w:lang w:val="en-US" w:eastAsia="zh-CN" w:bidi="ar-SA"/>
    </w:rPr>
  </w:style>
  <w:style w:type="paragraph" w:customStyle="1" w:styleId="23">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2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25">
    <w:name w:val="副标题 字符"/>
    <w:basedOn w:val="17"/>
    <w:link w:val="10"/>
    <w:qFormat/>
    <w:uiPriority w:val="0"/>
    <w:rPr>
      <w:rFonts w:asciiTheme="minorHAnsi" w:hAnsiTheme="minorHAnsi" w:eastAsiaTheme="minorEastAsia" w:cstheme="minorBidi"/>
      <w:b/>
      <w:bCs/>
      <w:kern w:val="28"/>
      <w:sz w:val="24"/>
      <w:szCs w:val="32"/>
    </w:rPr>
  </w:style>
  <w:style w:type="character" w:customStyle="1" w:styleId="26">
    <w:name w:val="标题 字符"/>
    <w:basedOn w:val="17"/>
    <w:link w:val="14"/>
    <w:qFormat/>
    <w:uiPriority w:val="0"/>
    <w:rPr>
      <w:rFonts w:asciiTheme="majorHAnsi" w:hAnsiTheme="majorHAnsi" w:eastAsiaTheme="majorEastAsia" w:cstheme="majorBidi"/>
      <w:b/>
      <w:bCs/>
      <w:kern w:val="2"/>
      <w:sz w:val="32"/>
      <w:szCs w:val="32"/>
    </w:rPr>
  </w:style>
  <w:style w:type="character" w:customStyle="1" w:styleId="27">
    <w:name w:val="页脚 字符"/>
    <w:basedOn w:val="17"/>
    <w:link w:val="7"/>
    <w:qFormat/>
    <w:uiPriority w:val="99"/>
    <w:rPr>
      <w:kern w:val="2"/>
      <w:sz w:val="18"/>
      <w:szCs w:val="18"/>
    </w:rPr>
  </w:style>
  <w:style w:type="table" w:customStyle="1" w:styleId="28">
    <w:name w:val="Table Normal"/>
    <w:semiHidden/>
    <w:unhideWhenUsed/>
    <w:qFormat/>
    <w:uiPriority w:val="0"/>
    <w:tblPr>
      <w:tblCellMar>
        <w:top w:w="0" w:type="dxa"/>
        <w:left w:w="0" w:type="dxa"/>
        <w:bottom w:w="0" w:type="dxa"/>
        <w:right w:w="0" w:type="dxa"/>
      </w:tblCellMar>
    </w:tblPr>
  </w:style>
  <w:style w:type="paragraph" w:customStyle="1" w:styleId="29">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tyleName="APA" Version="6"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EF48C-7B71-4138-AE2E-0FADA2EF8955}">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13574</Words>
  <Characters>14513</Characters>
  <Lines>143</Lines>
  <Paragraphs>40</Paragraphs>
  <TotalTime>30</TotalTime>
  <ScaleCrop>false</ScaleCrop>
  <LinksUpToDate>false</LinksUpToDate>
  <CharactersWithSpaces>16645</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2018-11-08T05:02:00Z</dcterms:created>
  <dc:creator>zzz</dc:creator>
  <cp:lastModifiedBy>admin</cp:lastModifiedBy>
  <cp:lastPrinted>2011-05-21T08:57:00Z</cp:lastPrinted>
  <dcterms:modified xsi:type="dcterms:W3CDTF">2023-05-26T04:19:07Z</dcterms:modified>
  <dc:title>第一章</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9232E675A62D40DD8220CE1B8A04AAB8_13</vt:lpwstr>
  </property>
</Properties>
</file>